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2FF28A" w14:textId="77777777" w:rsidR="00E80B28" w:rsidRDefault="00E80B28" w:rsidP="00E80B28">
      <w:pPr>
        <w:spacing w:before="120"/>
        <w:jc w:val="both"/>
        <w:rPr>
          <w:b/>
          <w:bCs/>
        </w:rPr>
      </w:pPr>
      <w:r>
        <w:rPr>
          <w:b/>
          <w:bCs/>
        </w:rPr>
        <w:t>Figure captions:</w:t>
      </w:r>
    </w:p>
    <w:p w14:paraId="3A785619" w14:textId="77777777" w:rsidR="0048039C" w:rsidRDefault="0048039C" w:rsidP="00E80B28">
      <w:pPr>
        <w:spacing w:before="120"/>
        <w:jc w:val="both"/>
        <w:rPr>
          <w:b/>
          <w:bCs/>
        </w:rPr>
      </w:pPr>
    </w:p>
    <w:p w14:paraId="358BDF3D" w14:textId="77777777" w:rsidR="00E80B28" w:rsidRDefault="00E80B28" w:rsidP="00A96F11">
      <w:pPr>
        <w:jc w:val="both"/>
      </w:pPr>
      <w:r w:rsidRPr="00DB6709">
        <w:rPr>
          <w:b/>
          <w:bCs/>
        </w:rPr>
        <w:t>Figure 1.</w:t>
      </w:r>
      <w:r>
        <w:t xml:space="preserve"> Map showing an example 450-km search radius applied to reconstructing PDSI over North America using PPR and the number of tree-ring chronologies found around the “green diamond” grid point. These “Level-1” chronologies are the initial candidate predictors used in PPR.</w:t>
      </w:r>
    </w:p>
    <w:p w14:paraId="51FFFF0D" w14:textId="77777777" w:rsidR="00F13622" w:rsidRDefault="00F13622" w:rsidP="00A96F11">
      <w:pPr>
        <w:jc w:val="both"/>
      </w:pPr>
    </w:p>
    <w:p w14:paraId="64E87208" w14:textId="77777777" w:rsidR="00F13622" w:rsidRDefault="00F13622" w:rsidP="00A96F11">
      <w:pPr>
        <w:jc w:val="both"/>
      </w:pPr>
      <w:r w:rsidRPr="00F13622">
        <w:rPr>
          <w:b/>
          <w:bCs/>
        </w:rPr>
        <w:t>Figure 2.</w:t>
      </w:r>
      <w:r w:rsidRPr="00F13622">
        <w:t xml:space="preserve"> Results of principal component analysis applied to the retained 19 chronologies (see Figure 1 for their locations) found by Level-2 screening over the 1928-1978 calibration period. The explained variance of each eigenvalue is shown (blue), as is the cumulative variance of the eigenvalues through a given rank (red). The eigenvalue-1 cutoff criterion was used to select the subset of principal components to use as candidate predictors in the regression. That number is 5 (dashed line in figure), which accounts for 75.7% of the cumulative variance. This is the “Level-3” screening of point-by-point regression.</w:t>
      </w:r>
    </w:p>
    <w:p w14:paraId="446B94B7" w14:textId="77777777" w:rsidR="00A96F11" w:rsidRDefault="00A96F11" w:rsidP="00A96F11">
      <w:pPr>
        <w:jc w:val="both"/>
      </w:pPr>
    </w:p>
    <w:p w14:paraId="6E351B53" w14:textId="77777777" w:rsidR="00A96F11" w:rsidRDefault="00F13622" w:rsidP="00A96F11">
      <w:pPr>
        <w:jc w:val="both"/>
        <w:rPr>
          <w:b/>
          <w:bCs/>
        </w:rPr>
      </w:pPr>
      <w:r w:rsidRPr="00F13622">
        <w:rPr>
          <w:b/>
          <w:bCs/>
        </w:rPr>
        <w:t xml:space="preserve">Figure 3. </w:t>
      </w:r>
      <w:r w:rsidRPr="00F13622">
        <w:rPr>
          <w:bCs/>
        </w:rPr>
        <w:t>The annual (red) and decadal lowpass filtered (blue) Palmer Drought Severity Index (PDSI)</w:t>
      </w:r>
      <w:r w:rsidRPr="00F13622" w:rsidDel="00027801">
        <w:rPr>
          <w:bCs/>
        </w:rPr>
        <w:t xml:space="preserve"> </w:t>
      </w:r>
      <w:r w:rsidRPr="00F13622">
        <w:rPr>
          <w:bCs/>
        </w:rPr>
        <w:t>reconstruction of a single grid point (green diamond in Figure 1) example using point-by-point regression. The reconstruction covers the period 1460-1990, with the 1979-1990 data being instrumental PDSI to provide an update of PDSI variability beyond that available from tree rings.</w:t>
      </w:r>
    </w:p>
    <w:p w14:paraId="0666401C" w14:textId="77777777" w:rsidR="00F13622" w:rsidRDefault="00F13622" w:rsidP="00A96F11">
      <w:pPr>
        <w:jc w:val="both"/>
      </w:pPr>
    </w:p>
    <w:p w14:paraId="428950AE" w14:textId="14B8A32F" w:rsidR="00566940" w:rsidRPr="00566940" w:rsidRDefault="00566940" w:rsidP="00566940">
      <w:pPr>
        <w:ind w:right="1080"/>
        <w:jc w:val="both"/>
        <w:rPr>
          <w:b/>
          <w:bCs/>
        </w:rPr>
      </w:pPr>
      <w:r w:rsidRPr="00566940">
        <w:rPr>
          <w:b/>
          <w:bCs/>
        </w:rPr>
        <w:t xml:space="preserve">Figure 4. </w:t>
      </w:r>
      <w:r w:rsidRPr="00566940">
        <w:rPr>
          <w:bCs/>
        </w:rPr>
        <w:t xml:space="preserve">Maps of point-by-point regression calibration and verification skill for the North American Drought Atlas </w:t>
      </w:r>
      <w:r w:rsidRPr="00566940">
        <w:rPr>
          <w:bCs/>
        </w:rPr>
        <w:fldChar w:fldCharType="begin"/>
      </w:r>
      <w:r w:rsidRPr="00566940">
        <w:rPr>
          <w:bCs/>
        </w:rPr>
        <w:instrText xml:space="preserve"> ADDIN EN.CITE &lt;EndNote&gt;&lt;Cite&gt;&lt;Author&gt;Cook&lt;/Author&gt;&lt;Year&gt;2004&lt;/Year&gt;&lt;RecNum&gt;302&lt;/RecNum&gt;&lt;DisplayText&gt;(Cook et al., 2004)&lt;/DisplayText&gt;&lt;record&gt;&lt;rec-number&gt;302&lt;/rec-number&gt;&lt;foreign-keys&gt;&lt;key app="EN" db-id="x5t0d52we9pfzqeerv3p55e6za5vazwxts5w" timestamp="1467423015"&gt;302&lt;/key&gt;&lt;/foreign-keys&gt;&lt;ref-type name="Journal Article"&gt;17&lt;/ref-type&gt;&lt;contributors&gt;&lt;authors&gt;&lt;author&gt;Cook, E. R.&lt;/author&gt;&lt;author&gt;Woodhouse, C. A.&lt;/author&gt;&lt;author&gt;Eakin, C. M.&lt;/author&gt;&lt;author&gt;Meko, D. M.&lt;/author&gt;&lt;author&gt;Stahle, D. W.&lt;/author&gt;&lt;/authors&gt;&lt;/contributors&gt;&lt;titles&gt;&lt;title&gt;Long-term aridity changes in the western United States&lt;/title&gt;&lt;secondary-title&gt;Science&lt;/secondary-title&gt;&lt;/titles&gt;&lt;periodical&gt;&lt;full-title&gt;Science&lt;/full-title&gt;&lt;/periodical&gt;&lt;pages&gt;1015-1018&lt;/pages&gt;&lt;volume&gt;306&lt;/volume&gt;&lt;number&gt;5698&lt;/number&gt;&lt;dates&gt;&lt;year&gt;2004&lt;/year&gt;&lt;pub-dates&gt;&lt;date&gt;Nov 5&lt;/date&gt;&lt;/pub-dates&gt;&lt;/dates&gt;&lt;isbn&gt;0036-8075&lt;/isbn&gt;&lt;accession-num&gt;WOS:000225001100038&lt;/accession-num&gt;&lt;urls&gt;&lt;/urls&gt;&lt;electronic-resource-num&gt;10.1126/science.1102586&lt;/electronic-resource-num&gt;&lt;/record&gt;&lt;/Cite&gt;&lt;/EndNote&gt;</w:instrText>
      </w:r>
      <w:r w:rsidRPr="00566940">
        <w:rPr>
          <w:bCs/>
        </w:rPr>
        <w:fldChar w:fldCharType="separate"/>
      </w:r>
      <w:r w:rsidRPr="00566940">
        <w:rPr>
          <w:bCs/>
        </w:rPr>
        <w:t>(Cook et al., 2004)</w:t>
      </w:r>
      <w:r w:rsidRPr="00566940">
        <w:rPr>
          <w:bCs/>
        </w:rPr>
        <w:fldChar w:fldCharType="end"/>
      </w:r>
      <w:r w:rsidRPr="00566940">
        <w:rPr>
          <w:bCs/>
        </w:rPr>
        <w:t xml:space="preserve">, as measured by the coefficient of determination (RSQ), the reduction of error, and coefficient of efficiency (see discussion in Box 1).  Values of the latter two range from </w:t>
      </w:r>
      <m:oMath>
        <m:r>
          <w:rPr>
            <w:rFonts w:ascii="Cambria Math" w:hAnsi="Cambria Math"/>
          </w:rPr>
          <m:t xml:space="preserve">-∞ </m:t>
        </m:r>
      </m:oMath>
      <w:r w:rsidRPr="00566940">
        <w:rPr>
          <w:bCs/>
        </w:rPr>
        <w:t>to 1 and are considered skillful for values greater than zero. Note that the single grid-point reconstruction shown in Figure 3 is included in the above maps.</w:t>
      </w:r>
    </w:p>
    <w:p w14:paraId="338A7D1A" w14:textId="77777777" w:rsidR="00A96F11" w:rsidRDefault="00A96F11" w:rsidP="00A96F11">
      <w:pPr>
        <w:ind w:right="1080"/>
        <w:jc w:val="both"/>
      </w:pPr>
    </w:p>
    <w:p w14:paraId="62EE1C4B" w14:textId="3607E203" w:rsidR="00A96F11" w:rsidRDefault="00976ECA" w:rsidP="00A96F11">
      <w:pPr>
        <w:widowControl w:val="0"/>
        <w:autoSpaceDE w:val="0"/>
        <w:autoSpaceDN w:val="0"/>
        <w:adjustRightInd w:val="0"/>
        <w:jc w:val="both"/>
        <w:rPr>
          <w:rFonts w:ascii="Times" w:hAnsi="Times" w:cs="Times"/>
          <w:color w:val="000000"/>
        </w:rPr>
      </w:pPr>
      <w:r>
        <w:rPr>
          <w:rFonts w:ascii="Times" w:hAnsi="Times" w:cs="Times"/>
          <w:b/>
          <w:bCs/>
          <w:color w:val="000000"/>
        </w:rPr>
        <w:t>Figure 5</w:t>
      </w:r>
      <w:r w:rsidR="00A96F11" w:rsidRPr="00DB6709">
        <w:rPr>
          <w:rFonts w:ascii="Times" w:hAnsi="Times" w:cs="Times"/>
          <w:b/>
          <w:bCs/>
          <w:color w:val="000000"/>
        </w:rPr>
        <w:t>.</w:t>
      </w:r>
      <w:r w:rsidR="00A96F11">
        <w:rPr>
          <w:rFonts w:ascii="Times" w:hAnsi="Times" w:cs="Times"/>
          <w:color w:val="000000"/>
        </w:rPr>
        <w:t xml:space="preserve"> The functional forms of the power transformation option, applied to tree rings in PPR based on their correlations with climate over a range of </w:t>
      </w:r>
      <w:r w:rsidR="00A96F11" w:rsidRPr="0008242A">
        <w:rPr>
          <w:rFonts w:ascii="Times" w:hAnsi="Times" w:cs="Times"/>
          <w:i/>
          <w:color w:val="000000"/>
        </w:rPr>
        <w:t>r</w:t>
      </w:r>
      <w:r w:rsidR="00A96F11">
        <w:rPr>
          <w:rFonts w:ascii="Times" w:hAnsi="Times" w:cs="Times"/>
          <w:color w:val="000000"/>
        </w:rPr>
        <w:t xml:space="preserve"> and </w:t>
      </w:r>
      <w:r w:rsidR="00A96F11" w:rsidRPr="0008242A">
        <w:rPr>
          <w:rFonts w:ascii="Times" w:hAnsi="Times" w:cs="Times"/>
          <w:i/>
          <w:color w:val="000000"/>
        </w:rPr>
        <w:t>p</w:t>
      </w:r>
      <w:r w:rsidR="00A96F11">
        <w:rPr>
          <w:rFonts w:ascii="Times" w:hAnsi="Times" w:cs="Times"/>
          <w:color w:val="000000"/>
        </w:rPr>
        <w:t xml:space="preserve"> values.</w:t>
      </w:r>
    </w:p>
    <w:p w14:paraId="63C05EE2" w14:textId="77777777" w:rsidR="0065653E" w:rsidRDefault="0065653E" w:rsidP="00A96F11">
      <w:pPr>
        <w:widowControl w:val="0"/>
        <w:autoSpaceDE w:val="0"/>
        <w:autoSpaceDN w:val="0"/>
        <w:adjustRightInd w:val="0"/>
        <w:jc w:val="both"/>
        <w:rPr>
          <w:rFonts w:ascii="Times" w:hAnsi="Times" w:cs="Times"/>
          <w:color w:val="000000"/>
        </w:rPr>
      </w:pPr>
    </w:p>
    <w:p w14:paraId="1811F642" w14:textId="22F215A2" w:rsidR="001D1202" w:rsidRDefault="009A47DC" w:rsidP="009A47DC">
      <w:pPr>
        <w:jc w:val="both"/>
      </w:pPr>
      <w:r w:rsidRPr="009A47DC">
        <w:rPr>
          <w:b/>
          <w:bCs/>
        </w:rPr>
        <w:t xml:space="preserve">Figure 6. </w:t>
      </w:r>
      <w:r w:rsidRPr="009A47DC">
        <w:rPr>
          <w:bCs/>
        </w:rPr>
        <w:t>Maps of cross-validation R</w:t>
      </w:r>
      <w:r w:rsidRPr="009A47DC">
        <w:rPr>
          <w:bCs/>
          <w:vertAlign w:val="superscript"/>
        </w:rPr>
        <w:t>2</w:t>
      </w:r>
      <w:r w:rsidRPr="009A47DC">
        <w:rPr>
          <w:bCs/>
        </w:rPr>
        <w:t xml:space="preserve"> (CVRE), optimal out-of-sample verification R</w:t>
      </w:r>
      <w:r w:rsidRPr="009A47DC">
        <w:rPr>
          <w:bCs/>
          <w:vertAlign w:val="superscript"/>
        </w:rPr>
        <w:t>2</w:t>
      </w:r>
      <w:r w:rsidRPr="009A47DC">
        <w:rPr>
          <w:bCs/>
        </w:rPr>
        <w:t xml:space="preserve"> (VRSQ), optimal distance (DIST) and optimal power weighting (POW).</w:t>
      </w:r>
    </w:p>
    <w:p w14:paraId="04210B8F" w14:textId="77777777" w:rsidR="00514A4A" w:rsidRDefault="00514A4A" w:rsidP="001D1202">
      <w:pPr>
        <w:jc w:val="both"/>
      </w:pPr>
    </w:p>
    <w:p w14:paraId="619BEEB2" w14:textId="0CD223F5" w:rsidR="00514A4A" w:rsidRDefault="00BC3BD0" w:rsidP="001D1202">
      <w:pPr>
        <w:jc w:val="both"/>
        <w:rPr>
          <w:b/>
          <w:bCs/>
        </w:rPr>
      </w:pPr>
      <w:r w:rsidRPr="00BC3BD0">
        <w:rPr>
          <w:b/>
          <w:bCs/>
        </w:rPr>
        <w:t xml:space="preserve">Figure 7. </w:t>
      </w:r>
      <w:r w:rsidRPr="00BC3BD0">
        <w:rPr>
          <w:bCs/>
        </w:rPr>
        <w:t>A flowchart of the ensemble PPR method described in this paper (progression is from the top to the bottom of the flow chart). Note that the last optional local imputation and smoothing step is described in detail in Cook et al. (2020).</w:t>
      </w:r>
    </w:p>
    <w:p w14:paraId="2DD6A342" w14:textId="77777777" w:rsidR="004F2DFC" w:rsidRDefault="004F2DFC" w:rsidP="001D1202">
      <w:pPr>
        <w:jc w:val="both"/>
      </w:pPr>
      <w:bookmarkStart w:id="0" w:name="_GoBack"/>
      <w:bookmarkEnd w:id="0"/>
    </w:p>
    <w:p w14:paraId="1E41F318" w14:textId="77777777" w:rsidR="0048039C" w:rsidRDefault="0048039C" w:rsidP="00422FAA">
      <w:pPr>
        <w:spacing w:before="120"/>
        <w:jc w:val="both"/>
      </w:pPr>
    </w:p>
    <w:p w14:paraId="6317AA92" w14:textId="77777777" w:rsidR="00E80B28" w:rsidRDefault="00E80B28" w:rsidP="00E80B28">
      <w:pPr>
        <w:spacing w:before="120"/>
        <w:jc w:val="both"/>
      </w:pPr>
    </w:p>
    <w:p w14:paraId="1DF78E7D" w14:textId="77777777" w:rsidR="00E80B28" w:rsidRDefault="00E80B28" w:rsidP="00E80B28">
      <w:pPr>
        <w:spacing w:before="120"/>
        <w:jc w:val="both"/>
      </w:pPr>
    </w:p>
    <w:p w14:paraId="3D221705" w14:textId="77777777" w:rsidR="001D2434" w:rsidRDefault="001D2434"/>
    <w:sectPr w:rsidR="001D24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ambria Math">
    <w:panose1 w:val="02040503050406030204"/>
    <w:charset w:val="00"/>
    <w:family w:val="auto"/>
    <w:pitch w:val="variable"/>
    <w:sig w:usb0="E00002FF" w:usb1="420024FF" w:usb2="00000000"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B28"/>
    <w:rsid w:val="000879D5"/>
    <w:rsid w:val="001D1202"/>
    <w:rsid w:val="001D2434"/>
    <w:rsid w:val="00422FAA"/>
    <w:rsid w:val="0048039C"/>
    <w:rsid w:val="004F2DFC"/>
    <w:rsid w:val="00514A4A"/>
    <w:rsid w:val="00566940"/>
    <w:rsid w:val="0065653E"/>
    <w:rsid w:val="00976ECA"/>
    <w:rsid w:val="009A47DC"/>
    <w:rsid w:val="00A96F11"/>
    <w:rsid w:val="00BC3BD0"/>
    <w:rsid w:val="00E80B28"/>
    <w:rsid w:val="00F13622"/>
    <w:rsid w:val="00F17B22"/>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0FAA97CC"/>
  <w15:chartTrackingRefBased/>
  <w15:docId w15:val="{F1A5098E-E52D-BF4A-B344-4139DB92D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80B28"/>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39C"/>
    <w:rPr>
      <w:sz w:val="18"/>
      <w:szCs w:val="18"/>
    </w:rPr>
  </w:style>
  <w:style w:type="character" w:customStyle="1" w:styleId="BalloonTextChar">
    <w:name w:val="Balloon Text Char"/>
    <w:basedOn w:val="DefaultParagraphFont"/>
    <w:link w:val="BalloonText"/>
    <w:uiPriority w:val="99"/>
    <w:semiHidden/>
    <w:rsid w:val="0048039C"/>
    <w:rPr>
      <w:rFonts w:ascii="Times New Roman" w:eastAsia="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506</Words>
  <Characters>2888</Characters>
  <Application>Microsoft Macintosh Word</Application>
  <DocSecurity>0</DocSecurity>
  <Lines>24</Lines>
  <Paragraphs>6</Paragraphs>
  <ScaleCrop>false</ScaleCrop>
  <Company/>
  <LinksUpToDate>false</LinksUpToDate>
  <CharactersWithSpaces>3388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Cook</dc:creator>
  <cp:keywords/>
  <dc:description/>
  <cp:lastModifiedBy>Edward Cook</cp:lastModifiedBy>
  <cp:revision>8</cp:revision>
  <dcterms:created xsi:type="dcterms:W3CDTF">2023-08-05T12:11:00Z</dcterms:created>
  <dcterms:modified xsi:type="dcterms:W3CDTF">2023-08-05T12:15:00Z</dcterms:modified>
</cp:coreProperties>
</file>