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5B37" w:rsidRPr="00346DA7" w:rsidRDefault="00DF7F35" w:rsidP="00D843E7">
      <w:pPr>
        <w:pStyle w:val="FootnoteText"/>
        <w:ind w:left="360" w:hanging="360"/>
        <w:rPr>
          <w:sz w:val="24"/>
          <w:szCs w:val="24"/>
        </w:rPr>
      </w:pPr>
      <w:r w:rsidRPr="00346DA7">
        <w:rPr>
          <w:rStyle w:val="FootnoteReference"/>
          <w:sz w:val="24"/>
          <w:szCs w:val="24"/>
        </w:rPr>
        <w:t>1</w:t>
      </w:r>
      <w:r w:rsidR="00AB53B3" w:rsidRPr="00346DA7">
        <w:rPr>
          <w:sz w:val="24"/>
          <w:szCs w:val="24"/>
        </w:rPr>
        <w:tab/>
      </w:r>
      <w:r w:rsidR="00F75B37" w:rsidRPr="00346DA7">
        <w:rPr>
          <w:sz w:val="24"/>
          <w:szCs w:val="24"/>
        </w:rPr>
        <w:t>The envelope of known CAMP is 15x10</w:t>
      </w:r>
      <w:r w:rsidR="00F75B37" w:rsidRPr="00346DA7">
        <w:rPr>
          <w:sz w:val="24"/>
          <w:szCs w:val="24"/>
          <w:vertAlign w:val="superscript"/>
        </w:rPr>
        <w:t>6</w:t>
      </w:r>
      <w:r w:rsidR="00F75B37" w:rsidRPr="00346DA7">
        <w:rPr>
          <w:sz w:val="24"/>
          <w:szCs w:val="24"/>
        </w:rPr>
        <w:t xml:space="preserve"> km</w:t>
      </w:r>
      <w:r w:rsidR="00F75B37" w:rsidRPr="00346DA7">
        <w:rPr>
          <w:sz w:val="24"/>
          <w:szCs w:val="24"/>
          <w:vertAlign w:val="superscript"/>
        </w:rPr>
        <w:t>2</w:t>
      </w:r>
      <w:r w:rsidR="00F75B37" w:rsidRPr="00346DA7">
        <w:rPr>
          <w:sz w:val="24"/>
          <w:szCs w:val="24"/>
        </w:rPr>
        <w:t xml:space="preserve"> based on map of Davies et al. (2021) and Google Earth projection of </w:t>
      </w:r>
      <w:proofErr w:type="spellStart"/>
      <w:r w:rsidR="00F75B37" w:rsidRPr="00346DA7">
        <w:rPr>
          <w:sz w:val="24"/>
          <w:szCs w:val="24"/>
        </w:rPr>
        <w:t>Scotese</w:t>
      </w:r>
      <w:proofErr w:type="spellEnd"/>
      <w:r w:rsidR="00F75B37" w:rsidRPr="00346DA7">
        <w:rPr>
          <w:sz w:val="24"/>
          <w:szCs w:val="24"/>
        </w:rPr>
        <w:t xml:space="preserve"> (2013: Latest Triassic_Spgeog_994.kmk). CAMP is about 39.5% the Moon (38.0x10</w:t>
      </w:r>
      <w:r w:rsidR="00F75B37" w:rsidRPr="00346DA7">
        <w:rPr>
          <w:sz w:val="24"/>
          <w:szCs w:val="24"/>
          <w:vertAlign w:val="superscript"/>
        </w:rPr>
        <w:t>6</w:t>
      </w:r>
      <w:r w:rsidR="00F75B37" w:rsidRPr="00346DA7">
        <w:rPr>
          <w:sz w:val="24"/>
          <w:szCs w:val="24"/>
        </w:rPr>
        <w:t xml:space="preserve"> km</w:t>
      </w:r>
      <w:r w:rsidR="00F75B37" w:rsidRPr="00346DA7">
        <w:rPr>
          <w:sz w:val="24"/>
          <w:szCs w:val="24"/>
          <w:vertAlign w:val="superscript"/>
        </w:rPr>
        <w:t>2</w:t>
      </w:r>
      <w:r w:rsidR="00F75B37" w:rsidRPr="00346DA7">
        <w:rPr>
          <w:sz w:val="24"/>
          <w:szCs w:val="24"/>
        </w:rPr>
        <w:t>), 20% the area of Mercury (74.8 x10</w:t>
      </w:r>
      <w:r w:rsidR="00F75B37" w:rsidRPr="00346DA7">
        <w:rPr>
          <w:sz w:val="24"/>
          <w:szCs w:val="24"/>
          <w:vertAlign w:val="superscript"/>
        </w:rPr>
        <w:t>6</w:t>
      </w:r>
      <w:r w:rsidR="00F75B37" w:rsidRPr="00346DA7">
        <w:rPr>
          <w:sz w:val="24"/>
          <w:szCs w:val="24"/>
        </w:rPr>
        <w:t xml:space="preserve"> km</w:t>
      </w:r>
      <w:r w:rsidR="00F75B37" w:rsidRPr="00346DA7">
        <w:rPr>
          <w:sz w:val="24"/>
          <w:szCs w:val="24"/>
          <w:vertAlign w:val="superscript"/>
        </w:rPr>
        <w:t>2</w:t>
      </w:r>
      <w:r w:rsidR="00F75B37" w:rsidRPr="00346DA7">
        <w:rPr>
          <w:sz w:val="24"/>
          <w:szCs w:val="24"/>
        </w:rPr>
        <w:t>), 10% the area of Mars (144.4x10</w:t>
      </w:r>
      <w:r w:rsidR="00F75B37" w:rsidRPr="00346DA7">
        <w:rPr>
          <w:sz w:val="24"/>
          <w:szCs w:val="24"/>
          <w:vertAlign w:val="superscript"/>
        </w:rPr>
        <w:t>6</w:t>
      </w:r>
      <w:r w:rsidR="00F75B37" w:rsidRPr="00346DA7">
        <w:rPr>
          <w:sz w:val="24"/>
          <w:szCs w:val="24"/>
        </w:rPr>
        <w:t xml:space="preserve"> km</w:t>
      </w:r>
      <w:r w:rsidR="00F75B37" w:rsidRPr="00346DA7">
        <w:rPr>
          <w:sz w:val="24"/>
          <w:szCs w:val="24"/>
          <w:vertAlign w:val="superscript"/>
        </w:rPr>
        <w:t>2</w:t>
      </w:r>
      <w:r w:rsidR="00F75B37" w:rsidRPr="00346DA7">
        <w:rPr>
          <w:sz w:val="24"/>
          <w:szCs w:val="24"/>
        </w:rPr>
        <w:t>), and 2.9% of Earth (509.64x10</w:t>
      </w:r>
      <w:r w:rsidR="00F75B37" w:rsidRPr="00346DA7">
        <w:rPr>
          <w:sz w:val="24"/>
          <w:szCs w:val="24"/>
          <w:vertAlign w:val="superscript"/>
        </w:rPr>
        <w:t>6</w:t>
      </w:r>
      <w:r w:rsidR="00F75B37" w:rsidRPr="00346DA7">
        <w:rPr>
          <w:sz w:val="24"/>
          <w:szCs w:val="24"/>
        </w:rPr>
        <w:t xml:space="preserve"> km</w:t>
      </w:r>
      <w:r w:rsidR="00F75B37" w:rsidRPr="00346DA7">
        <w:rPr>
          <w:sz w:val="24"/>
          <w:szCs w:val="24"/>
          <w:vertAlign w:val="superscript"/>
        </w:rPr>
        <w:t>2</w:t>
      </w:r>
      <w:r w:rsidR="00F75B37" w:rsidRPr="00346DA7">
        <w:rPr>
          <w:sz w:val="24"/>
          <w:szCs w:val="24"/>
        </w:rPr>
        <w:t>). (from Wikipedia).</w:t>
      </w:r>
    </w:p>
    <w:p w:rsidR="00F75B37" w:rsidRPr="00346DA7" w:rsidRDefault="00F75B37" w:rsidP="00D843E7">
      <w:pPr>
        <w:pStyle w:val="FootnoteText"/>
        <w:ind w:left="360" w:hanging="360"/>
        <w:rPr>
          <w:sz w:val="24"/>
          <w:szCs w:val="24"/>
        </w:rPr>
      </w:pPr>
    </w:p>
    <w:p w:rsidR="00F75B37" w:rsidRPr="00346DA7" w:rsidRDefault="00B86D8B" w:rsidP="00D843E7">
      <w:pPr>
        <w:pStyle w:val="FootnoteText"/>
        <w:ind w:left="360" w:hanging="360"/>
        <w:rPr>
          <w:sz w:val="24"/>
          <w:szCs w:val="24"/>
        </w:rPr>
      </w:pPr>
      <w:r w:rsidRPr="00346DA7">
        <w:rPr>
          <w:noProof/>
        </w:rPr>
        <mc:AlternateContent>
          <mc:Choice Requires="wps">
            <w:drawing>
              <wp:anchor distT="0" distB="0" distL="114300" distR="114300" simplePos="0" relativeHeight="251659264" behindDoc="0" locked="0" layoutInCell="1" allowOverlap="1" wp14:anchorId="428E3F2D" wp14:editId="661A7591">
                <wp:simplePos x="0" y="0"/>
                <wp:positionH relativeFrom="column">
                  <wp:posOffset>35560</wp:posOffset>
                </wp:positionH>
                <wp:positionV relativeFrom="paragraph">
                  <wp:posOffset>4439285</wp:posOffset>
                </wp:positionV>
                <wp:extent cx="5779135" cy="2130425"/>
                <wp:effectExtent l="0" t="0" r="0" b="0"/>
                <wp:wrapTopAndBottom/>
                <wp:docPr id="1230623261" name="Text Box 1"/>
                <wp:cNvGraphicFramePr/>
                <a:graphic xmlns:a="http://schemas.openxmlformats.org/drawingml/2006/main">
                  <a:graphicData uri="http://schemas.microsoft.com/office/word/2010/wordprocessingShape">
                    <wps:wsp>
                      <wps:cNvSpPr txBox="1"/>
                      <wps:spPr>
                        <a:xfrm>
                          <a:off x="0" y="0"/>
                          <a:ext cx="5779135" cy="2130425"/>
                        </a:xfrm>
                        <a:prstGeom prst="rect">
                          <a:avLst/>
                        </a:prstGeom>
                        <a:noFill/>
                        <a:ln w="6350">
                          <a:noFill/>
                        </a:ln>
                      </wps:spPr>
                      <wps:txbx>
                        <w:txbxContent>
                          <w:tbl>
                            <w:tblPr>
                              <w:tblW w:w="9280" w:type="dxa"/>
                              <w:tblLook w:val="04A0" w:firstRow="1" w:lastRow="0" w:firstColumn="1" w:lastColumn="0" w:noHBand="0" w:noVBand="1"/>
                            </w:tblPr>
                            <w:tblGrid>
                              <w:gridCol w:w="4013"/>
                              <w:gridCol w:w="1308"/>
                              <w:gridCol w:w="1308"/>
                              <w:gridCol w:w="1311"/>
                              <w:gridCol w:w="1340"/>
                            </w:tblGrid>
                            <w:tr w:rsidR="00B86D8B" w:rsidRPr="00F551C5" w:rsidTr="00161AB3">
                              <w:trPr>
                                <w:trHeight w:val="540"/>
                              </w:trPr>
                              <w:tc>
                                <w:tcPr>
                                  <w:tcW w:w="4013" w:type="dxa"/>
                                  <w:tcBorders>
                                    <w:top w:val="nil"/>
                                    <w:left w:val="nil"/>
                                    <w:bottom w:val="nil"/>
                                    <w:right w:val="nil"/>
                                  </w:tcBorders>
                                  <w:shd w:val="clear" w:color="auto" w:fill="auto"/>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Model name</w:t>
                                  </w:r>
                                </w:p>
                              </w:tc>
                              <w:tc>
                                <w:tcPr>
                                  <w:tcW w:w="1308" w:type="dxa"/>
                                  <w:tcBorders>
                                    <w:top w:val="nil"/>
                                    <w:left w:val="nil"/>
                                    <w:bottom w:val="nil"/>
                                    <w:right w:val="nil"/>
                                  </w:tcBorders>
                                  <w:shd w:val="clear" w:color="auto" w:fill="auto"/>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New Haven thickness (m)</w:t>
                                  </w:r>
                                </w:p>
                              </w:tc>
                              <w:tc>
                                <w:tcPr>
                                  <w:tcW w:w="1308" w:type="dxa"/>
                                  <w:tcBorders>
                                    <w:top w:val="nil"/>
                                    <w:left w:val="nil"/>
                                    <w:bottom w:val="nil"/>
                                    <w:right w:val="nil"/>
                                  </w:tcBorders>
                                  <w:shd w:val="clear" w:color="auto" w:fill="auto"/>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calcite age height (m)</w:t>
                                  </w:r>
                                </w:p>
                              </w:tc>
                              <w:tc>
                                <w:tcPr>
                                  <w:tcW w:w="1311" w:type="dxa"/>
                                  <w:tcBorders>
                                    <w:top w:val="nil"/>
                                    <w:left w:val="nil"/>
                                    <w:bottom w:val="nil"/>
                                    <w:right w:val="nil"/>
                                  </w:tcBorders>
                                  <w:shd w:val="clear" w:color="auto" w:fill="auto"/>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age at base of New Haven (Ma)</w:t>
                                  </w:r>
                                </w:p>
                              </w:tc>
                              <w:tc>
                                <w:tcPr>
                                  <w:tcW w:w="1340" w:type="dxa"/>
                                  <w:tcBorders>
                                    <w:top w:val="nil"/>
                                    <w:left w:val="nil"/>
                                    <w:bottom w:val="nil"/>
                                    <w:right w:val="nil"/>
                                  </w:tcBorders>
                                  <w:shd w:val="clear" w:color="auto" w:fill="auto"/>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average accumulation rate (cm/kyr)</w:t>
                                  </w:r>
                                </w:p>
                              </w:tc>
                            </w:tr>
                            <w:tr w:rsidR="00B86D8B" w:rsidRPr="00F551C5" w:rsidTr="00161AB3">
                              <w:trPr>
                                <w:trHeight w:val="171"/>
                              </w:trPr>
                              <w:tc>
                                <w:tcPr>
                                  <w:tcW w:w="4013"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proofErr w:type="spellStart"/>
                                  <w:r w:rsidRPr="00F551C5">
                                    <w:rPr>
                                      <w:rFonts w:ascii="Calibri" w:hAnsi="Calibri" w:cs="Calibri"/>
                                      <w:color w:val="000000"/>
                                      <w:sz w:val="20"/>
                                      <w:szCs w:val="20"/>
                                    </w:rPr>
                                    <w:t>Krynine</w:t>
                                  </w:r>
                                  <w:proofErr w:type="spellEnd"/>
                                  <w:r w:rsidRPr="00F551C5">
                                    <w:rPr>
                                      <w:rFonts w:ascii="Calibri" w:hAnsi="Calibri" w:cs="Calibri"/>
                                      <w:color w:val="000000"/>
                                      <w:sz w:val="20"/>
                                      <w:szCs w:val="20"/>
                                    </w:rPr>
                                    <w:t xml:space="preserve"> (1950) at Meriden*</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1752</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626</w:t>
                                  </w:r>
                                </w:p>
                              </w:tc>
                              <w:tc>
                                <w:tcPr>
                                  <w:tcW w:w="1311"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218</w:t>
                                  </w:r>
                                </w:p>
                              </w:tc>
                              <w:tc>
                                <w:tcPr>
                                  <w:tcW w:w="1340"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0.11</w:t>
                                  </w:r>
                                </w:p>
                              </w:tc>
                            </w:tr>
                            <w:tr w:rsidR="00B86D8B" w:rsidRPr="00F551C5" w:rsidTr="00161AB3">
                              <w:trPr>
                                <w:trHeight w:val="135"/>
                              </w:trPr>
                              <w:tc>
                                <w:tcPr>
                                  <w:tcW w:w="4013"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Dip domain model of Wise (</w:t>
                                  </w:r>
                                  <w:proofErr w:type="gramStart"/>
                                  <w:r w:rsidRPr="00F551C5">
                                    <w:rPr>
                                      <w:rFonts w:ascii="Calibri" w:hAnsi="Calibri" w:cs="Calibri"/>
                                      <w:color w:val="000000"/>
                                      <w:sz w:val="20"/>
                                      <w:szCs w:val="20"/>
                                    </w:rPr>
                                    <w:t>1992)*</w:t>
                                  </w:r>
                                  <w:proofErr w:type="gramEnd"/>
                                  <w:r w:rsidRPr="00F551C5">
                                    <w:rPr>
                                      <w:rFonts w:ascii="Calibri" w:hAnsi="Calibri" w:cs="Calibri"/>
                                      <w:color w:val="000000"/>
                                      <w:sz w:val="20"/>
                                      <w:szCs w:val="20"/>
                                    </w:rPr>
                                    <w:t>*</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1860</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665</w:t>
                                  </w:r>
                                </w:p>
                              </w:tc>
                              <w:tc>
                                <w:tcPr>
                                  <w:tcW w:w="1311"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218</w:t>
                                  </w:r>
                                </w:p>
                              </w:tc>
                              <w:tc>
                                <w:tcPr>
                                  <w:tcW w:w="1340"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0.12</w:t>
                                  </w:r>
                                </w:p>
                              </w:tc>
                            </w:tr>
                            <w:tr w:rsidR="00B86D8B" w:rsidRPr="00F551C5" w:rsidTr="00161AB3">
                              <w:trPr>
                                <w:trHeight w:val="99"/>
                              </w:trPr>
                              <w:tc>
                                <w:tcPr>
                                  <w:tcW w:w="4013"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Wang et al. (1998)</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2000</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650</w:t>
                                  </w:r>
                                </w:p>
                              </w:tc>
                              <w:tc>
                                <w:tcPr>
                                  <w:tcW w:w="1311"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217</w:t>
                                  </w:r>
                                </w:p>
                              </w:tc>
                              <w:tc>
                                <w:tcPr>
                                  <w:tcW w:w="1340"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0.13</w:t>
                                  </w:r>
                                </w:p>
                              </w:tc>
                            </w:tr>
                            <w:tr w:rsidR="00B86D8B" w:rsidRPr="00F551C5" w:rsidTr="00161AB3">
                              <w:trPr>
                                <w:trHeight w:val="153"/>
                              </w:trPr>
                              <w:tc>
                                <w:tcPr>
                                  <w:tcW w:w="4013"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proofErr w:type="spellStart"/>
                                  <w:r w:rsidRPr="00F551C5">
                                    <w:rPr>
                                      <w:rFonts w:ascii="Calibri" w:hAnsi="Calibri" w:cs="Calibri"/>
                                      <w:color w:val="000000"/>
                                      <w:sz w:val="20"/>
                                      <w:szCs w:val="20"/>
                                    </w:rPr>
                                    <w:t>McInerney</w:t>
                                  </w:r>
                                  <w:proofErr w:type="spellEnd"/>
                                  <w:r w:rsidRPr="00F551C5">
                                    <w:rPr>
                                      <w:rFonts w:ascii="Calibri" w:hAnsi="Calibri" w:cs="Calibri"/>
                                      <w:color w:val="000000"/>
                                      <w:sz w:val="20"/>
                                      <w:szCs w:val="20"/>
                                    </w:rPr>
                                    <w:t xml:space="preserve"> and Hubert (2003)</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2100</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650</w:t>
                                  </w:r>
                                </w:p>
                              </w:tc>
                              <w:tc>
                                <w:tcPr>
                                  <w:tcW w:w="1311"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217</w:t>
                                  </w:r>
                                </w:p>
                              </w:tc>
                              <w:tc>
                                <w:tcPr>
                                  <w:tcW w:w="1340"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0.14</w:t>
                                  </w:r>
                                </w:p>
                              </w:tc>
                            </w:tr>
                            <w:tr w:rsidR="00B86D8B" w:rsidRPr="00F551C5" w:rsidTr="00161AB3">
                              <w:trPr>
                                <w:trHeight w:val="198"/>
                              </w:trPr>
                              <w:tc>
                                <w:tcPr>
                                  <w:tcW w:w="4013"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Wang et al. (1998) &amp; de Wet et al. (</w:t>
                                  </w:r>
                                  <w:proofErr w:type="gramStart"/>
                                  <w:r w:rsidRPr="00F551C5">
                                    <w:rPr>
                                      <w:rFonts w:ascii="Calibri" w:hAnsi="Calibri" w:cs="Calibri"/>
                                      <w:color w:val="000000"/>
                                      <w:sz w:val="20"/>
                                      <w:szCs w:val="20"/>
                                    </w:rPr>
                                    <w:t>2002)*</w:t>
                                  </w:r>
                                  <w:proofErr w:type="gramEnd"/>
                                  <w:r w:rsidRPr="00F551C5">
                                    <w:rPr>
                                      <w:rFonts w:ascii="Calibri" w:hAnsi="Calibri" w:cs="Calibri"/>
                                      <w:color w:val="000000"/>
                                      <w:sz w:val="20"/>
                                      <w:szCs w:val="20"/>
                                    </w:rPr>
                                    <w:t>**</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2400</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650</w:t>
                                  </w:r>
                                </w:p>
                              </w:tc>
                              <w:tc>
                                <w:tcPr>
                                  <w:tcW w:w="1311"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216</w:t>
                                  </w:r>
                                </w:p>
                              </w:tc>
                              <w:tc>
                                <w:tcPr>
                                  <w:tcW w:w="1340"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0.17</w:t>
                                  </w:r>
                                </w:p>
                              </w:tc>
                            </w:tr>
                            <w:tr w:rsidR="00B86D8B" w:rsidRPr="00F551C5" w:rsidTr="00161AB3">
                              <w:trPr>
                                <w:trHeight w:val="153"/>
                              </w:trPr>
                              <w:tc>
                                <w:tcPr>
                                  <w:tcW w:w="4013"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Average</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sz w:val="20"/>
                                      <w:szCs w:val="20"/>
                                    </w:rPr>
                                  </w:pPr>
                                </w:p>
                              </w:tc>
                              <w:tc>
                                <w:tcPr>
                                  <w:tcW w:w="1311"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217 ± 1</w:t>
                                  </w:r>
                                </w:p>
                              </w:tc>
                              <w:tc>
                                <w:tcPr>
                                  <w:tcW w:w="1340"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0.13 ± 0.02</w:t>
                                  </w:r>
                                </w:p>
                              </w:tc>
                            </w:tr>
                            <w:tr w:rsidR="00B86D8B" w:rsidRPr="00F551C5" w:rsidTr="00161AB3">
                              <w:trPr>
                                <w:trHeight w:val="117"/>
                              </w:trPr>
                              <w:tc>
                                <w:tcPr>
                                  <w:tcW w:w="9280" w:type="dxa"/>
                                  <w:gridSpan w:val="5"/>
                                  <w:tcBorders>
                                    <w:top w:val="nil"/>
                                    <w:left w:val="nil"/>
                                    <w:bottom w:val="nil"/>
                                    <w:right w:val="nil"/>
                                  </w:tcBorders>
                                  <w:shd w:val="clear" w:color="auto" w:fill="auto"/>
                                  <w:noWrap/>
                                  <w:vAlign w:val="bottom"/>
                                </w:tcPr>
                                <w:p w:rsidR="00B86D8B" w:rsidRPr="00F551C5" w:rsidRDefault="00B86D8B" w:rsidP="00B86D8B">
                                  <w:pPr>
                                    <w:jc w:val="center"/>
                                    <w:rPr>
                                      <w:sz w:val="20"/>
                                      <w:szCs w:val="20"/>
                                    </w:rPr>
                                  </w:pPr>
                                  <w:r w:rsidRPr="00F551C5">
                                    <w:rPr>
                                      <w:rFonts w:ascii="Calibri" w:hAnsi="Calibri" w:cs="Calibri"/>
                                      <w:color w:val="000000"/>
                                      <w:sz w:val="20"/>
                                      <w:szCs w:val="20"/>
                                    </w:rPr>
                                    <w:t xml:space="preserve">*With no information of how </w:t>
                                  </w:r>
                                  <w:proofErr w:type="spellStart"/>
                                  <w:r w:rsidRPr="00F551C5">
                                    <w:rPr>
                                      <w:rFonts w:ascii="Calibri" w:hAnsi="Calibri" w:cs="Calibri"/>
                                      <w:color w:val="000000"/>
                                      <w:sz w:val="20"/>
                                      <w:szCs w:val="20"/>
                                    </w:rPr>
                                    <w:t>Krynine</w:t>
                                  </w:r>
                                  <w:proofErr w:type="spellEnd"/>
                                  <w:r w:rsidRPr="00F551C5">
                                    <w:rPr>
                                      <w:rFonts w:ascii="Calibri" w:hAnsi="Calibri" w:cs="Calibri"/>
                                      <w:color w:val="000000"/>
                                      <w:sz w:val="20"/>
                                      <w:szCs w:val="20"/>
                                    </w:rPr>
                                    <w:t xml:space="preserve"> arrived at the estimate we scaled the calcite age height of the dip domain model to ratio of </w:t>
                                  </w:r>
                                  <w:proofErr w:type="spellStart"/>
                                  <w:r w:rsidRPr="00F551C5">
                                    <w:rPr>
                                      <w:rFonts w:ascii="Calibri" w:hAnsi="Calibri" w:cs="Calibri"/>
                                      <w:color w:val="000000"/>
                                      <w:sz w:val="20"/>
                                      <w:szCs w:val="20"/>
                                    </w:rPr>
                                    <w:t>Krynine’s</w:t>
                                  </w:r>
                                  <w:proofErr w:type="spellEnd"/>
                                  <w:r w:rsidRPr="00F551C5">
                                    <w:rPr>
                                      <w:rFonts w:ascii="Calibri" w:hAnsi="Calibri" w:cs="Calibri"/>
                                      <w:color w:val="000000"/>
                                      <w:sz w:val="20"/>
                                      <w:szCs w:val="20"/>
                                    </w:rPr>
                                    <w:t xml:space="preserve"> total thickness to total dip domain estimate.</w:t>
                                  </w:r>
                                </w:p>
                              </w:tc>
                            </w:tr>
                            <w:tr w:rsidR="00B86D8B" w:rsidRPr="00F551C5" w:rsidTr="00161AB3">
                              <w:trPr>
                                <w:trHeight w:val="117"/>
                              </w:trPr>
                              <w:tc>
                                <w:tcPr>
                                  <w:tcW w:w="9280" w:type="dxa"/>
                                  <w:gridSpan w:val="5"/>
                                  <w:tcBorders>
                                    <w:top w:val="nil"/>
                                    <w:left w:val="nil"/>
                                    <w:bottom w:val="nil"/>
                                    <w:right w:val="nil"/>
                                  </w:tcBorders>
                                  <w:shd w:val="clear" w:color="auto" w:fill="auto"/>
                                  <w:noWrap/>
                                  <w:vAlign w:val="bottom"/>
                                  <w:hideMark/>
                                </w:tcPr>
                                <w:p w:rsidR="00B86D8B" w:rsidRPr="00F551C5" w:rsidRDefault="00B86D8B" w:rsidP="00B86D8B">
                                  <w:pPr>
                                    <w:jc w:val="center"/>
                                    <w:rPr>
                                      <w:sz w:val="20"/>
                                      <w:szCs w:val="20"/>
                                    </w:rPr>
                                  </w:pPr>
                                  <w:r w:rsidRPr="00F551C5">
                                    <w:rPr>
                                      <w:rFonts w:ascii="Calibri" w:hAnsi="Calibri" w:cs="Calibri"/>
                                      <w:color w:val="000000"/>
                                      <w:sz w:val="20"/>
                                      <w:szCs w:val="20"/>
                                    </w:rPr>
                                    <w:t>**At Meriden parallel to, but north of, I-691; includes 100 m of elevation change to the basalt.</w:t>
                                  </w:r>
                                </w:p>
                              </w:tc>
                            </w:tr>
                            <w:tr w:rsidR="00B86D8B" w:rsidRPr="00F551C5" w:rsidTr="00161AB3">
                              <w:trPr>
                                <w:trHeight w:val="81"/>
                              </w:trPr>
                              <w:tc>
                                <w:tcPr>
                                  <w:tcW w:w="9280" w:type="dxa"/>
                                  <w:gridSpan w:val="5"/>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 xml:space="preserve">*** Wang et al.'s (1998) position </w:t>
                                  </w:r>
                                  <w:proofErr w:type="gramStart"/>
                                  <w:r w:rsidRPr="00F551C5">
                                    <w:rPr>
                                      <w:rFonts w:ascii="Calibri" w:hAnsi="Calibri" w:cs="Calibri"/>
                                      <w:color w:val="000000"/>
                                      <w:sz w:val="20"/>
                                      <w:szCs w:val="20"/>
                                    </w:rPr>
                                    <w:t>of  &amp;</w:t>
                                  </w:r>
                                  <w:proofErr w:type="gramEnd"/>
                                  <w:r w:rsidRPr="00F551C5">
                                    <w:rPr>
                                      <w:rFonts w:ascii="Calibri" w:hAnsi="Calibri" w:cs="Calibri"/>
                                      <w:color w:val="000000"/>
                                      <w:sz w:val="20"/>
                                      <w:szCs w:val="20"/>
                                    </w:rPr>
                                    <w:t xml:space="preserve"> de Wet et al.'s  (2002) thickness of New Haven</w:t>
                                  </w:r>
                                </w:p>
                              </w:tc>
                            </w:tr>
                          </w:tbl>
                          <w:p w:rsidR="00B86D8B" w:rsidRPr="00F551C5" w:rsidRDefault="00B86D8B" w:rsidP="00B86D8B">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E3F2D" id="_x0000_t202" coordsize="21600,21600" o:spt="202" path="m,l,21600r21600,l21600,xe">
                <v:stroke joinstyle="miter"/>
                <v:path gradientshapeok="t" o:connecttype="rect"/>
              </v:shapetype>
              <v:shape id="Text Box 1" o:spid="_x0000_s1026" type="#_x0000_t202" style="position:absolute;left:0;text-align:left;margin-left:2.8pt;margin-top:349.55pt;width:455.05pt;height:16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" filled="f" stroked="f" strokeweight=".5pt">
                <v:fill o:detectmouseclick="t"/>
                <v:textbox>
                  <w:txbxContent>
                    <w:tbl>
                      <w:tblPr>
                        <w:tblW w:w="9280" w:type="dxa"/>
                        <w:tblLook w:val="04A0" w:firstRow="1" w:lastRow="0" w:firstColumn="1" w:lastColumn="0" w:noHBand="0" w:noVBand="1"/>
                      </w:tblPr>
                      <w:tblGrid>
                        <w:gridCol w:w="4013"/>
                        <w:gridCol w:w="1308"/>
                        <w:gridCol w:w="1308"/>
                        <w:gridCol w:w="1311"/>
                        <w:gridCol w:w="1340"/>
                      </w:tblGrid>
                      <w:tr w:rsidR="00B86D8B" w:rsidRPr="00F551C5" w:rsidTr="00161AB3">
                        <w:trPr>
                          <w:trHeight w:val="540"/>
                        </w:trPr>
                        <w:tc>
                          <w:tcPr>
                            <w:tcW w:w="4013" w:type="dxa"/>
                            <w:tcBorders>
                              <w:top w:val="nil"/>
                              <w:left w:val="nil"/>
                              <w:bottom w:val="nil"/>
                              <w:right w:val="nil"/>
                            </w:tcBorders>
                            <w:shd w:val="clear" w:color="auto" w:fill="auto"/>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Model name</w:t>
                            </w:r>
                          </w:p>
                        </w:tc>
                        <w:tc>
                          <w:tcPr>
                            <w:tcW w:w="1308" w:type="dxa"/>
                            <w:tcBorders>
                              <w:top w:val="nil"/>
                              <w:left w:val="nil"/>
                              <w:bottom w:val="nil"/>
                              <w:right w:val="nil"/>
                            </w:tcBorders>
                            <w:shd w:val="clear" w:color="auto" w:fill="auto"/>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New Haven thickness (m)</w:t>
                            </w:r>
                          </w:p>
                        </w:tc>
                        <w:tc>
                          <w:tcPr>
                            <w:tcW w:w="1308" w:type="dxa"/>
                            <w:tcBorders>
                              <w:top w:val="nil"/>
                              <w:left w:val="nil"/>
                              <w:bottom w:val="nil"/>
                              <w:right w:val="nil"/>
                            </w:tcBorders>
                            <w:shd w:val="clear" w:color="auto" w:fill="auto"/>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calcite age height (m)</w:t>
                            </w:r>
                          </w:p>
                        </w:tc>
                        <w:tc>
                          <w:tcPr>
                            <w:tcW w:w="1311" w:type="dxa"/>
                            <w:tcBorders>
                              <w:top w:val="nil"/>
                              <w:left w:val="nil"/>
                              <w:bottom w:val="nil"/>
                              <w:right w:val="nil"/>
                            </w:tcBorders>
                            <w:shd w:val="clear" w:color="auto" w:fill="auto"/>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age at base of New Haven (Ma)</w:t>
                            </w:r>
                          </w:p>
                        </w:tc>
                        <w:tc>
                          <w:tcPr>
                            <w:tcW w:w="1340" w:type="dxa"/>
                            <w:tcBorders>
                              <w:top w:val="nil"/>
                              <w:left w:val="nil"/>
                              <w:bottom w:val="nil"/>
                              <w:right w:val="nil"/>
                            </w:tcBorders>
                            <w:shd w:val="clear" w:color="auto" w:fill="auto"/>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average accumulation rate (cm/kyr)</w:t>
                            </w:r>
                          </w:p>
                        </w:tc>
                      </w:tr>
                      <w:tr w:rsidR="00B86D8B" w:rsidRPr="00F551C5" w:rsidTr="00161AB3">
                        <w:trPr>
                          <w:trHeight w:val="171"/>
                        </w:trPr>
                        <w:tc>
                          <w:tcPr>
                            <w:tcW w:w="4013"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proofErr w:type="spellStart"/>
                            <w:r w:rsidRPr="00F551C5">
                              <w:rPr>
                                <w:rFonts w:ascii="Calibri" w:hAnsi="Calibri" w:cs="Calibri"/>
                                <w:color w:val="000000"/>
                                <w:sz w:val="20"/>
                                <w:szCs w:val="20"/>
                              </w:rPr>
                              <w:t>Krynine</w:t>
                            </w:r>
                            <w:proofErr w:type="spellEnd"/>
                            <w:r w:rsidRPr="00F551C5">
                              <w:rPr>
                                <w:rFonts w:ascii="Calibri" w:hAnsi="Calibri" w:cs="Calibri"/>
                                <w:color w:val="000000"/>
                                <w:sz w:val="20"/>
                                <w:szCs w:val="20"/>
                              </w:rPr>
                              <w:t xml:space="preserve"> (1950) at Meriden*</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1752</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626</w:t>
                            </w:r>
                          </w:p>
                        </w:tc>
                        <w:tc>
                          <w:tcPr>
                            <w:tcW w:w="1311"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218</w:t>
                            </w:r>
                          </w:p>
                        </w:tc>
                        <w:tc>
                          <w:tcPr>
                            <w:tcW w:w="1340"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0.11</w:t>
                            </w:r>
                          </w:p>
                        </w:tc>
                      </w:tr>
                      <w:tr w:rsidR="00B86D8B" w:rsidRPr="00F551C5" w:rsidTr="00161AB3">
                        <w:trPr>
                          <w:trHeight w:val="135"/>
                        </w:trPr>
                        <w:tc>
                          <w:tcPr>
                            <w:tcW w:w="4013"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Dip domain model of Wise (</w:t>
                            </w:r>
                            <w:proofErr w:type="gramStart"/>
                            <w:r w:rsidRPr="00F551C5">
                              <w:rPr>
                                <w:rFonts w:ascii="Calibri" w:hAnsi="Calibri" w:cs="Calibri"/>
                                <w:color w:val="000000"/>
                                <w:sz w:val="20"/>
                                <w:szCs w:val="20"/>
                              </w:rPr>
                              <w:t>1992)*</w:t>
                            </w:r>
                            <w:proofErr w:type="gramEnd"/>
                            <w:r w:rsidRPr="00F551C5">
                              <w:rPr>
                                <w:rFonts w:ascii="Calibri" w:hAnsi="Calibri" w:cs="Calibri"/>
                                <w:color w:val="000000"/>
                                <w:sz w:val="20"/>
                                <w:szCs w:val="20"/>
                              </w:rPr>
                              <w:t>*</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1860</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665</w:t>
                            </w:r>
                          </w:p>
                        </w:tc>
                        <w:tc>
                          <w:tcPr>
                            <w:tcW w:w="1311"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218</w:t>
                            </w:r>
                          </w:p>
                        </w:tc>
                        <w:tc>
                          <w:tcPr>
                            <w:tcW w:w="1340"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0.12</w:t>
                            </w:r>
                          </w:p>
                        </w:tc>
                      </w:tr>
                      <w:tr w:rsidR="00B86D8B" w:rsidRPr="00F551C5" w:rsidTr="00161AB3">
                        <w:trPr>
                          <w:trHeight w:val="99"/>
                        </w:trPr>
                        <w:tc>
                          <w:tcPr>
                            <w:tcW w:w="4013"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Wang et al. (1998)</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2000</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650</w:t>
                            </w:r>
                          </w:p>
                        </w:tc>
                        <w:tc>
                          <w:tcPr>
                            <w:tcW w:w="1311"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217</w:t>
                            </w:r>
                          </w:p>
                        </w:tc>
                        <w:tc>
                          <w:tcPr>
                            <w:tcW w:w="1340"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0.13</w:t>
                            </w:r>
                          </w:p>
                        </w:tc>
                      </w:tr>
                      <w:tr w:rsidR="00B86D8B" w:rsidRPr="00F551C5" w:rsidTr="00161AB3">
                        <w:trPr>
                          <w:trHeight w:val="153"/>
                        </w:trPr>
                        <w:tc>
                          <w:tcPr>
                            <w:tcW w:w="4013"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proofErr w:type="spellStart"/>
                            <w:r w:rsidRPr="00F551C5">
                              <w:rPr>
                                <w:rFonts w:ascii="Calibri" w:hAnsi="Calibri" w:cs="Calibri"/>
                                <w:color w:val="000000"/>
                                <w:sz w:val="20"/>
                                <w:szCs w:val="20"/>
                              </w:rPr>
                              <w:t>McInerney</w:t>
                            </w:r>
                            <w:proofErr w:type="spellEnd"/>
                            <w:r w:rsidRPr="00F551C5">
                              <w:rPr>
                                <w:rFonts w:ascii="Calibri" w:hAnsi="Calibri" w:cs="Calibri"/>
                                <w:color w:val="000000"/>
                                <w:sz w:val="20"/>
                                <w:szCs w:val="20"/>
                              </w:rPr>
                              <w:t xml:space="preserve"> and Hubert (2003)</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2100</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650</w:t>
                            </w:r>
                          </w:p>
                        </w:tc>
                        <w:tc>
                          <w:tcPr>
                            <w:tcW w:w="1311"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217</w:t>
                            </w:r>
                          </w:p>
                        </w:tc>
                        <w:tc>
                          <w:tcPr>
                            <w:tcW w:w="1340"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0.14</w:t>
                            </w:r>
                          </w:p>
                        </w:tc>
                      </w:tr>
                      <w:tr w:rsidR="00B86D8B" w:rsidRPr="00F551C5" w:rsidTr="00161AB3">
                        <w:trPr>
                          <w:trHeight w:val="198"/>
                        </w:trPr>
                        <w:tc>
                          <w:tcPr>
                            <w:tcW w:w="4013"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Wang et al. (1998) &amp; de Wet et al. (</w:t>
                            </w:r>
                            <w:proofErr w:type="gramStart"/>
                            <w:r w:rsidRPr="00F551C5">
                              <w:rPr>
                                <w:rFonts w:ascii="Calibri" w:hAnsi="Calibri" w:cs="Calibri"/>
                                <w:color w:val="000000"/>
                                <w:sz w:val="20"/>
                                <w:szCs w:val="20"/>
                              </w:rPr>
                              <w:t>2002)*</w:t>
                            </w:r>
                            <w:proofErr w:type="gramEnd"/>
                            <w:r w:rsidRPr="00F551C5">
                              <w:rPr>
                                <w:rFonts w:ascii="Calibri" w:hAnsi="Calibri" w:cs="Calibri"/>
                                <w:color w:val="000000"/>
                                <w:sz w:val="20"/>
                                <w:szCs w:val="20"/>
                              </w:rPr>
                              <w:t>**</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2400</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650</w:t>
                            </w:r>
                          </w:p>
                        </w:tc>
                        <w:tc>
                          <w:tcPr>
                            <w:tcW w:w="1311"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216</w:t>
                            </w:r>
                          </w:p>
                        </w:tc>
                        <w:tc>
                          <w:tcPr>
                            <w:tcW w:w="1340"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0.17</w:t>
                            </w:r>
                          </w:p>
                        </w:tc>
                      </w:tr>
                      <w:tr w:rsidR="00B86D8B" w:rsidRPr="00F551C5" w:rsidTr="00161AB3">
                        <w:trPr>
                          <w:trHeight w:val="153"/>
                        </w:trPr>
                        <w:tc>
                          <w:tcPr>
                            <w:tcW w:w="4013"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Average</w:t>
                            </w: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p>
                        </w:tc>
                        <w:tc>
                          <w:tcPr>
                            <w:tcW w:w="1308" w:type="dxa"/>
                            <w:tcBorders>
                              <w:top w:val="nil"/>
                              <w:left w:val="nil"/>
                              <w:bottom w:val="nil"/>
                              <w:right w:val="nil"/>
                            </w:tcBorders>
                            <w:shd w:val="clear" w:color="auto" w:fill="auto"/>
                            <w:noWrap/>
                            <w:vAlign w:val="bottom"/>
                            <w:hideMark/>
                          </w:tcPr>
                          <w:p w:rsidR="00B86D8B" w:rsidRPr="00F551C5" w:rsidRDefault="00B86D8B" w:rsidP="00B86D8B">
                            <w:pPr>
                              <w:jc w:val="center"/>
                              <w:rPr>
                                <w:sz w:val="20"/>
                                <w:szCs w:val="20"/>
                              </w:rPr>
                            </w:pPr>
                          </w:p>
                        </w:tc>
                        <w:tc>
                          <w:tcPr>
                            <w:tcW w:w="1311"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217 ± 1</w:t>
                            </w:r>
                          </w:p>
                        </w:tc>
                        <w:tc>
                          <w:tcPr>
                            <w:tcW w:w="1340" w:type="dxa"/>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0.13 ± 0.02</w:t>
                            </w:r>
                          </w:p>
                        </w:tc>
                      </w:tr>
                      <w:tr w:rsidR="00B86D8B" w:rsidRPr="00F551C5" w:rsidTr="00161AB3">
                        <w:trPr>
                          <w:trHeight w:val="117"/>
                        </w:trPr>
                        <w:tc>
                          <w:tcPr>
                            <w:tcW w:w="9280" w:type="dxa"/>
                            <w:gridSpan w:val="5"/>
                            <w:tcBorders>
                              <w:top w:val="nil"/>
                              <w:left w:val="nil"/>
                              <w:bottom w:val="nil"/>
                              <w:right w:val="nil"/>
                            </w:tcBorders>
                            <w:shd w:val="clear" w:color="auto" w:fill="auto"/>
                            <w:noWrap/>
                            <w:vAlign w:val="bottom"/>
                          </w:tcPr>
                          <w:p w:rsidR="00B86D8B" w:rsidRPr="00F551C5" w:rsidRDefault="00B86D8B" w:rsidP="00B86D8B">
                            <w:pPr>
                              <w:jc w:val="center"/>
                              <w:rPr>
                                <w:sz w:val="20"/>
                                <w:szCs w:val="20"/>
                              </w:rPr>
                            </w:pPr>
                            <w:r w:rsidRPr="00F551C5">
                              <w:rPr>
                                <w:rFonts w:ascii="Calibri" w:hAnsi="Calibri" w:cs="Calibri"/>
                                <w:color w:val="000000"/>
                                <w:sz w:val="20"/>
                                <w:szCs w:val="20"/>
                              </w:rPr>
                              <w:t xml:space="preserve">*With no information of how </w:t>
                            </w:r>
                            <w:proofErr w:type="spellStart"/>
                            <w:r w:rsidRPr="00F551C5">
                              <w:rPr>
                                <w:rFonts w:ascii="Calibri" w:hAnsi="Calibri" w:cs="Calibri"/>
                                <w:color w:val="000000"/>
                                <w:sz w:val="20"/>
                                <w:szCs w:val="20"/>
                              </w:rPr>
                              <w:t>Krynine</w:t>
                            </w:r>
                            <w:proofErr w:type="spellEnd"/>
                            <w:r w:rsidRPr="00F551C5">
                              <w:rPr>
                                <w:rFonts w:ascii="Calibri" w:hAnsi="Calibri" w:cs="Calibri"/>
                                <w:color w:val="000000"/>
                                <w:sz w:val="20"/>
                                <w:szCs w:val="20"/>
                              </w:rPr>
                              <w:t xml:space="preserve"> arrived at the estimate we scaled the calcite age height of the dip domain model to ratio of </w:t>
                            </w:r>
                            <w:proofErr w:type="spellStart"/>
                            <w:r w:rsidRPr="00F551C5">
                              <w:rPr>
                                <w:rFonts w:ascii="Calibri" w:hAnsi="Calibri" w:cs="Calibri"/>
                                <w:color w:val="000000"/>
                                <w:sz w:val="20"/>
                                <w:szCs w:val="20"/>
                              </w:rPr>
                              <w:t>Krynine’s</w:t>
                            </w:r>
                            <w:proofErr w:type="spellEnd"/>
                            <w:r w:rsidRPr="00F551C5">
                              <w:rPr>
                                <w:rFonts w:ascii="Calibri" w:hAnsi="Calibri" w:cs="Calibri"/>
                                <w:color w:val="000000"/>
                                <w:sz w:val="20"/>
                                <w:szCs w:val="20"/>
                              </w:rPr>
                              <w:t xml:space="preserve"> total thickness to total dip domain estimate.</w:t>
                            </w:r>
                          </w:p>
                        </w:tc>
                      </w:tr>
                      <w:tr w:rsidR="00B86D8B" w:rsidRPr="00F551C5" w:rsidTr="00161AB3">
                        <w:trPr>
                          <w:trHeight w:val="117"/>
                        </w:trPr>
                        <w:tc>
                          <w:tcPr>
                            <w:tcW w:w="9280" w:type="dxa"/>
                            <w:gridSpan w:val="5"/>
                            <w:tcBorders>
                              <w:top w:val="nil"/>
                              <w:left w:val="nil"/>
                              <w:bottom w:val="nil"/>
                              <w:right w:val="nil"/>
                            </w:tcBorders>
                            <w:shd w:val="clear" w:color="auto" w:fill="auto"/>
                            <w:noWrap/>
                            <w:vAlign w:val="bottom"/>
                            <w:hideMark/>
                          </w:tcPr>
                          <w:p w:rsidR="00B86D8B" w:rsidRPr="00F551C5" w:rsidRDefault="00B86D8B" w:rsidP="00B86D8B">
                            <w:pPr>
                              <w:jc w:val="center"/>
                              <w:rPr>
                                <w:sz w:val="20"/>
                                <w:szCs w:val="20"/>
                              </w:rPr>
                            </w:pPr>
                            <w:r w:rsidRPr="00F551C5">
                              <w:rPr>
                                <w:rFonts w:ascii="Calibri" w:hAnsi="Calibri" w:cs="Calibri"/>
                                <w:color w:val="000000"/>
                                <w:sz w:val="20"/>
                                <w:szCs w:val="20"/>
                              </w:rPr>
                              <w:t>**At Meriden parallel to, but north of, I-691; includes 100 m of elevation change to the basalt.</w:t>
                            </w:r>
                          </w:p>
                        </w:tc>
                      </w:tr>
                      <w:tr w:rsidR="00B86D8B" w:rsidRPr="00F551C5" w:rsidTr="00161AB3">
                        <w:trPr>
                          <w:trHeight w:val="81"/>
                        </w:trPr>
                        <w:tc>
                          <w:tcPr>
                            <w:tcW w:w="9280" w:type="dxa"/>
                            <w:gridSpan w:val="5"/>
                            <w:tcBorders>
                              <w:top w:val="nil"/>
                              <w:left w:val="nil"/>
                              <w:bottom w:val="nil"/>
                              <w:right w:val="nil"/>
                            </w:tcBorders>
                            <w:shd w:val="clear" w:color="auto" w:fill="auto"/>
                            <w:noWrap/>
                            <w:vAlign w:val="bottom"/>
                            <w:hideMark/>
                          </w:tcPr>
                          <w:p w:rsidR="00B86D8B" w:rsidRPr="00F551C5" w:rsidRDefault="00B86D8B" w:rsidP="00B86D8B">
                            <w:pPr>
                              <w:jc w:val="center"/>
                              <w:rPr>
                                <w:rFonts w:ascii="Calibri" w:hAnsi="Calibri" w:cs="Calibri"/>
                                <w:color w:val="000000"/>
                                <w:sz w:val="20"/>
                                <w:szCs w:val="20"/>
                              </w:rPr>
                            </w:pPr>
                            <w:r w:rsidRPr="00F551C5">
                              <w:rPr>
                                <w:rFonts w:ascii="Calibri" w:hAnsi="Calibri" w:cs="Calibri"/>
                                <w:color w:val="000000"/>
                                <w:sz w:val="20"/>
                                <w:szCs w:val="20"/>
                              </w:rPr>
                              <w:t xml:space="preserve">*** Wang et al.'s (1998) position </w:t>
                            </w:r>
                            <w:proofErr w:type="gramStart"/>
                            <w:r w:rsidRPr="00F551C5">
                              <w:rPr>
                                <w:rFonts w:ascii="Calibri" w:hAnsi="Calibri" w:cs="Calibri"/>
                                <w:color w:val="000000"/>
                                <w:sz w:val="20"/>
                                <w:szCs w:val="20"/>
                              </w:rPr>
                              <w:t>of  &amp;</w:t>
                            </w:r>
                            <w:proofErr w:type="gramEnd"/>
                            <w:r w:rsidRPr="00F551C5">
                              <w:rPr>
                                <w:rFonts w:ascii="Calibri" w:hAnsi="Calibri" w:cs="Calibri"/>
                                <w:color w:val="000000"/>
                                <w:sz w:val="20"/>
                                <w:szCs w:val="20"/>
                              </w:rPr>
                              <w:t xml:space="preserve"> de Wet et al.'s  (2002) thickness of New Haven</w:t>
                            </w:r>
                          </w:p>
                        </w:tc>
                      </w:tr>
                    </w:tbl>
                    <w:p w:rsidR="00B86D8B" w:rsidRPr="00F551C5" w:rsidRDefault="00B86D8B" w:rsidP="00B86D8B">
                      <w:pPr>
                        <w:jc w:val="center"/>
                        <w:rPr>
                          <w:sz w:val="32"/>
                          <w:szCs w:val="32"/>
                        </w:rPr>
                      </w:pPr>
                    </w:p>
                  </w:txbxContent>
                </v:textbox>
                <w10:wrap type="topAndBottom"/>
              </v:shape>
            </w:pict>
          </mc:Fallback>
        </mc:AlternateContent>
      </w:r>
      <w:r w:rsidR="00DF7F35" w:rsidRPr="00346DA7">
        <w:rPr>
          <w:rStyle w:val="FootnoteReference"/>
          <w:sz w:val="24"/>
          <w:szCs w:val="24"/>
        </w:rPr>
        <w:t>2</w:t>
      </w:r>
      <w:r w:rsidR="00AB53B3" w:rsidRPr="00346DA7">
        <w:rPr>
          <w:sz w:val="24"/>
          <w:szCs w:val="24"/>
        </w:rPr>
        <w:tab/>
      </w:r>
      <w:r w:rsidR="00F75B37" w:rsidRPr="00346DA7">
        <w:rPr>
          <w:sz w:val="24"/>
          <w:szCs w:val="24"/>
        </w:rPr>
        <w:t xml:space="preserve">Information constraining the age of the base of the New Haven Formation is sparse, but there are some constraints. A sporomorph-bearing, dark gray mudstones at Forestville, CT in the lower New Haven Formation [450 m above the formation’s base according to </w:t>
      </w:r>
      <w:proofErr w:type="spellStart"/>
      <w:r w:rsidR="00F75B37" w:rsidRPr="00346DA7">
        <w:rPr>
          <w:sz w:val="24"/>
          <w:szCs w:val="24"/>
        </w:rPr>
        <w:t>Krynine</w:t>
      </w:r>
      <w:proofErr w:type="spellEnd"/>
      <w:r w:rsidR="00F75B37" w:rsidRPr="00346DA7">
        <w:rPr>
          <w:sz w:val="24"/>
          <w:szCs w:val="24"/>
        </w:rPr>
        <w:t xml:space="preserve"> (1950).] produced a pollen and spore assemblage described by Cornet (1977). “The scarcity of large non-striate </w:t>
      </w:r>
      <w:proofErr w:type="spellStart"/>
      <w:r w:rsidR="00F75B37" w:rsidRPr="00346DA7">
        <w:rPr>
          <w:sz w:val="24"/>
          <w:szCs w:val="24"/>
        </w:rPr>
        <w:t>bisaccate</w:t>
      </w:r>
      <w:proofErr w:type="spellEnd"/>
      <w:r w:rsidR="00F75B37" w:rsidRPr="00346DA7">
        <w:rPr>
          <w:sz w:val="24"/>
          <w:szCs w:val="24"/>
        </w:rPr>
        <w:t xml:space="preserve"> species, as well as the presence of </w:t>
      </w:r>
      <w:proofErr w:type="spellStart"/>
      <w:r w:rsidR="00F75B37" w:rsidRPr="00346DA7">
        <w:rPr>
          <w:i/>
          <w:iCs/>
          <w:sz w:val="24"/>
          <w:szCs w:val="24"/>
        </w:rPr>
        <w:t>Plicatisaccus</w:t>
      </w:r>
      <w:proofErr w:type="spellEnd"/>
      <w:r w:rsidR="00F75B37" w:rsidRPr="00346DA7">
        <w:rPr>
          <w:i/>
          <w:iCs/>
          <w:sz w:val="24"/>
          <w:szCs w:val="24"/>
        </w:rPr>
        <w:t xml:space="preserve"> badius</w:t>
      </w:r>
      <w:r w:rsidR="00F75B37" w:rsidRPr="00346DA7">
        <w:rPr>
          <w:sz w:val="24"/>
          <w:szCs w:val="24"/>
        </w:rPr>
        <w:t xml:space="preserve"> and </w:t>
      </w:r>
      <w:proofErr w:type="spellStart"/>
      <w:r w:rsidR="00F75B37" w:rsidRPr="00346DA7">
        <w:rPr>
          <w:i/>
          <w:iCs/>
          <w:sz w:val="24"/>
          <w:szCs w:val="24"/>
        </w:rPr>
        <w:t>Microcachryidites</w:t>
      </w:r>
      <w:proofErr w:type="spellEnd"/>
      <w:r w:rsidR="00F75B37" w:rsidRPr="00346DA7">
        <w:rPr>
          <w:sz w:val="24"/>
          <w:szCs w:val="24"/>
        </w:rPr>
        <w:t xml:space="preserve"> sp. 143, suggests that </w:t>
      </w:r>
      <w:proofErr w:type="spellStart"/>
      <w:r w:rsidR="00F75B37" w:rsidRPr="00346DA7">
        <w:rPr>
          <w:sz w:val="24"/>
          <w:szCs w:val="24"/>
        </w:rPr>
        <w:t>palynoflorule</w:t>
      </w:r>
      <w:proofErr w:type="spellEnd"/>
      <w:r w:rsidR="00F75B37" w:rsidRPr="00346DA7">
        <w:rPr>
          <w:sz w:val="24"/>
          <w:szCs w:val="24"/>
        </w:rPr>
        <w:t xml:space="preserve"> FOREST belongs either to the lowest part of the Lower Passaic-</w:t>
      </w:r>
      <w:proofErr w:type="spellStart"/>
      <w:r w:rsidR="00F75B37" w:rsidRPr="00346DA7">
        <w:rPr>
          <w:sz w:val="24"/>
          <w:szCs w:val="24"/>
        </w:rPr>
        <w:t>Heidlersburg</w:t>
      </w:r>
      <w:proofErr w:type="spellEnd"/>
      <w:r w:rsidR="00F75B37" w:rsidRPr="00346DA7">
        <w:rPr>
          <w:sz w:val="24"/>
          <w:szCs w:val="24"/>
        </w:rPr>
        <w:t xml:space="preserve"> palynofloral zone, or perhaps to the upper part of the Transition zone between the Lower Passaic-</w:t>
      </w:r>
      <w:proofErr w:type="spellStart"/>
      <w:r w:rsidR="00F75B37" w:rsidRPr="00346DA7">
        <w:rPr>
          <w:sz w:val="24"/>
          <w:szCs w:val="24"/>
        </w:rPr>
        <w:t>Heidlersburg</w:t>
      </w:r>
      <w:proofErr w:type="spellEnd"/>
      <w:r w:rsidR="00F75B37" w:rsidRPr="00346DA7">
        <w:rPr>
          <w:sz w:val="24"/>
          <w:szCs w:val="24"/>
        </w:rPr>
        <w:t xml:space="preserve"> and New Oxford-</w:t>
      </w:r>
      <w:proofErr w:type="spellStart"/>
      <w:r w:rsidR="00F75B37" w:rsidRPr="00346DA7">
        <w:rPr>
          <w:sz w:val="24"/>
          <w:szCs w:val="24"/>
        </w:rPr>
        <w:t>Lockatong</w:t>
      </w:r>
      <w:proofErr w:type="spellEnd"/>
      <w:r w:rsidR="00F75B37" w:rsidRPr="00346DA7">
        <w:rPr>
          <w:sz w:val="24"/>
          <w:szCs w:val="24"/>
        </w:rPr>
        <w:t xml:space="preserve"> palynofloras ... The presence and diversity of </w:t>
      </w:r>
      <w:proofErr w:type="spellStart"/>
      <w:r w:rsidR="00F75B37" w:rsidRPr="00346DA7">
        <w:rPr>
          <w:i/>
          <w:iCs/>
          <w:sz w:val="24"/>
          <w:szCs w:val="24"/>
        </w:rPr>
        <w:t>Triadispora</w:t>
      </w:r>
      <w:proofErr w:type="spellEnd"/>
      <w:r w:rsidR="00F75B37" w:rsidRPr="00346DA7">
        <w:rPr>
          <w:sz w:val="24"/>
          <w:szCs w:val="24"/>
        </w:rPr>
        <w:t xml:space="preserve"> supports such a correlation.” Based on this and other palynological considerations, Cornet assigned an early Norian age to the Forestville Assemblage. From that time until the 2000s the New Oxford-</w:t>
      </w:r>
      <w:proofErr w:type="spellStart"/>
      <w:r w:rsidR="00F75B37" w:rsidRPr="00346DA7">
        <w:rPr>
          <w:sz w:val="24"/>
          <w:szCs w:val="24"/>
        </w:rPr>
        <w:t>Lockatong</w:t>
      </w:r>
      <w:proofErr w:type="spellEnd"/>
      <w:r w:rsidR="00F75B37" w:rsidRPr="00346DA7">
        <w:rPr>
          <w:sz w:val="24"/>
          <w:szCs w:val="24"/>
        </w:rPr>
        <w:t xml:space="preserve"> palynoflora was considered to be Late </w:t>
      </w:r>
      <w:proofErr w:type="spellStart"/>
      <w:r w:rsidR="00F75B37" w:rsidRPr="00346DA7">
        <w:rPr>
          <w:sz w:val="24"/>
          <w:szCs w:val="24"/>
        </w:rPr>
        <w:t>Carnian</w:t>
      </w:r>
      <w:proofErr w:type="spellEnd"/>
      <w:r w:rsidR="00F75B37" w:rsidRPr="00346DA7">
        <w:rPr>
          <w:sz w:val="24"/>
          <w:szCs w:val="24"/>
        </w:rPr>
        <w:t xml:space="preserve"> in age, but magnetostratigraphic correlation of the Newark Basin astrochronology with Tethyan marine sections [Muttoni et al. (2003); Channel et al. (2003)] and then U-Pb TIMS ages from strata reliably correlated with the Newark (Kent et al., 2018, 2018; Rasmussen et al. 2021), showed conclusively that the New Oxford-</w:t>
      </w:r>
      <w:proofErr w:type="spellStart"/>
      <w:r w:rsidR="00F75B37" w:rsidRPr="00346DA7">
        <w:rPr>
          <w:sz w:val="24"/>
          <w:szCs w:val="24"/>
        </w:rPr>
        <w:t>Lockatong</w:t>
      </w:r>
      <w:proofErr w:type="spellEnd"/>
      <w:r w:rsidR="00F75B37" w:rsidRPr="00346DA7">
        <w:rPr>
          <w:sz w:val="24"/>
          <w:szCs w:val="24"/>
        </w:rPr>
        <w:t xml:space="preserve"> palynoflora is early Norian age and that the Lower Passaic-</w:t>
      </w:r>
      <w:proofErr w:type="spellStart"/>
      <w:r w:rsidR="00F75B37" w:rsidRPr="00346DA7">
        <w:rPr>
          <w:sz w:val="24"/>
          <w:szCs w:val="24"/>
        </w:rPr>
        <w:t>Heidlersburg</w:t>
      </w:r>
      <w:proofErr w:type="spellEnd"/>
      <w:r w:rsidR="00F75B37" w:rsidRPr="00346DA7">
        <w:rPr>
          <w:sz w:val="24"/>
          <w:szCs w:val="24"/>
        </w:rPr>
        <w:t xml:space="preserve"> palynoflora is middle Norian in age. The most prominent lacustrine sequences in the Newark Basin sequence within this interval are the Perkasie Member and sequences adjacent to the </w:t>
      </w:r>
      <w:proofErr w:type="spellStart"/>
      <w:r w:rsidR="00F75B37" w:rsidRPr="00346DA7">
        <w:rPr>
          <w:sz w:val="24"/>
          <w:szCs w:val="24"/>
        </w:rPr>
        <w:t>Mettlars</w:t>
      </w:r>
      <w:proofErr w:type="spellEnd"/>
      <w:r w:rsidR="00F75B37" w:rsidRPr="00346DA7">
        <w:rPr>
          <w:sz w:val="24"/>
          <w:szCs w:val="24"/>
        </w:rPr>
        <w:t xml:space="preserve"> Member spanning 215 to 211 Ma (Kent et al.,2017).  This assessment is consistent with a pedogenic calcite U-Pb age of 211.9 ± 2.1 Ma (Wang et al. 1998) from a sequence from very roughly the same level (~470 m or 650 m above the base according to Wang et al. (1998) and McInerny and Hubert (2003), respectively. Mudstone within 1 m below the dated calcite produced a partial skull of the pseudosuchian </w:t>
      </w:r>
      <w:proofErr w:type="spellStart"/>
      <w:r w:rsidR="00F75B37" w:rsidRPr="00346DA7">
        <w:rPr>
          <w:i/>
          <w:iCs/>
          <w:sz w:val="24"/>
          <w:szCs w:val="24"/>
        </w:rPr>
        <w:t>Erpetosuchus</w:t>
      </w:r>
      <w:proofErr w:type="spellEnd"/>
      <w:r w:rsidR="00F75B37" w:rsidRPr="00346DA7">
        <w:rPr>
          <w:sz w:val="24"/>
          <w:szCs w:val="24"/>
        </w:rPr>
        <w:t xml:space="preserve"> otherwise known from the </w:t>
      </w:r>
      <w:proofErr w:type="spellStart"/>
      <w:r w:rsidR="00F75B37" w:rsidRPr="00346DA7">
        <w:rPr>
          <w:sz w:val="24"/>
          <w:szCs w:val="24"/>
        </w:rPr>
        <w:t>Carnian</w:t>
      </w:r>
      <w:proofErr w:type="spellEnd"/>
      <w:r w:rsidR="00F75B37" w:rsidRPr="00346DA7">
        <w:rPr>
          <w:sz w:val="24"/>
          <w:szCs w:val="24"/>
        </w:rPr>
        <w:t xml:space="preserve">-Norian Lossiemouth Sandstone Formation of Scotland and consistent with a Norian age (although given the age uncertainty of the latter, it supplies no additional support for a specifically middle Norian age. </w:t>
      </w:r>
    </w:p>
    <w:p w:rsidR="00F75B37" w:rsidRPr="00346DA7" w:rsidRDefault="00F75B37" w:rsidP="00D843E7">
      <w:pPr>
        <w:pStyle w:val="FootnoteText"/>
        <w:ind w:left="360" w:hanging="360"/>
        <w:rPr>
          <w:sz w:val="24"/>
          <w:szCs w:val="24"/>
        </w:rPr>
      </w:pPr>
      <w:r w:rsidRPr="00346DA7">
        <w:rPr>
          <w:sz w:val="24"/>
          <w:szCs w:val="24"/>
        </w:rPr>
        <w:tab/>
        <w:t xml:space="preserve">Using the calcite U-Pb age of Wang et al. (1998) from the lower New Haven Formation, the and the age of the Talcott Formation of 201.5 [based on correlation to the Orange Mountain Basalt (Blackburn et al., 2013)], and a variety of thickness estimates we obtain the following </w:t>
      </w:r>
      <w:r w:rsidRPr="00346DA7">
        <w:rPr>
          <w:sz w:val="24"/>
          <w:szCs w:val="24"/>
        </w:rPr>
        <w:lastRenderedPageBreak/>
        <w:t xml:space="preserve">estimates of the total thickness of the New Haven Formation and the age at its base. We regard </w:t>
      </w:r>
      <w:proofErr w:type="spellStart"/>
      <w:r w:rsidRPr="00346DA7">
        <w:rPr>
          <w:sz w:val="24"/>
          <w:szCs w:val="24"/>
        </w:rPr>
        <w:t>Krynine’s</w:t>
      </w:r>
      <w:proofErr w:type="spellEnd"/>
      <w:r w:rsidRPr="00346DA7">
        <w:rPr>
          <w:sz w:val="24"/>
          <w:szCs w:val="24"/>
        </w:rPr>
        <w:t xml:space="preserve"> estimates and the dip domain model to be most realistic This does not include the nominal ± 2 Myr analytical uncertainty of the calcite age, which could have a yet larger geological uncertainty.</w:t>
      </w:r>
    </w:p>
    <w:p w:rsidR="00F75B37" w:rsidRPr="00346DA7" w:rsidRDefault="00F75B37" w:rsidP="00D843E7">
      <w:pPr>
        <w:pStyle w:val="FootnoteText"/>
        <w:ind w:left="360" w:hanging="360"/>
        <w:rPr>
          <w:sz w:val="24"/>
          <w:szCs w:val="24"/>
        </w:rPr>
      </w:pPr>
      <w:r w:rsidRPr="00346DA7">
        <w:rPr>
          <w:sz w:val="24"/>
          <w:szCs w:val="24"/>
        </w:rPr>
        <w:tab/>
        <w:t>Including the analytical uncertainty about doubles the uncertainties in the above table. These estimates also completely ignore possible accumulation rate changes occurring in the dip direction and are best regarded as minima.</w:t>
      </w:r>
    </w:p>
    <w:p w:rsidR="00237B44" w:rsidRPr="00346DA7" w:rsidRDefault="00237B44" w:rsidP="00D843E7">
      <w:pPr>
        <w:pStyle w:val="FootnoteText"/>
        <w:ind w:left="360" w:hanging="360"/>
        <w:rPr>
          <w:sz w:val="24"/>
          <w:szCs w:val="24"/>
        </w:rPr>
      </w:pPr>
    </w:p>
    <w:p w:rsidR="00237B44" w:rsidRPr="00346DA7" w:rsidRDefault="00DF7F35" w:rsidP="00D843E7">
      <w:pPr>
        <w:pStyle w:val="FootnoteText"/>
        <w:ind w:left="360" w:hanging="360"/>
        <w:rPr>
          <w:sz w:val="24"/>
          <w:szCs w:val="24"/>
        </w:rPr>
      </w:pPr>
      <w:r w:rsidRPr="00346DA7">
        <w:rPr>
          <w:rStyle w:val="FootnoteReference"/>
          <w:sz w:val="24"/>
          <w:szCs w:val="24"/>
        </w:rPr>
        <w:t>3</w:t>
      </w:r>
      <w:r w:rsidR="00AB53B3" w:rsidRPr="00346DA7">
        <w:rPr>
          <w:sz w:val="24"/>
          <w:szCs w:val="24"/>
        </w:rPr>
        <w:tab/>
      </w:r>
      <w:proofErr w:type="spellStart"/>
      <w:r w:rsidR="00237B44" w:rsidRPr="00346DA7">
        <w:rPr>
          <w:sz w:val="24"/>
          <w:szCs w:val="24"/>
        </w:rPr>
        <w:t>Hensleigh</w:t>
      </w:r>
      <w:proofErr w:type="spellEnd"/>
      <w:r w:rsidR="00237B44" w:rsidRPr="00346DA7">
        <w:rPr>
          <w:sz w:val="24"/>
          <w:szCs w:val="24"/>
        </w:rPr>
        <w:t xml:space="preserve"> Wedgwood (1803-1891) was a British etymologist who published a short description of the origins of the term trap, as in trap rock (Wedgwood. 1842). Among other things, </w:t>
      </w:r>
      <w:proofErr w:type="spellStart"/>
      <w:r w:rsidR="00237B44" w:rsidRPr="00346DA7">
        <w:rPr>
          <w:sz w:val="24"/>
          <w:szCs w:val="24"/>
        </w:rPr>
        <w:t>Hensleigh</w:t>
      </w:r>
      <w:proofErr w:type="spellEnd"/>
      <w:r w:rsidR="00237B44" w:rsidRPr="00346DA7">
        <w:rPr>
          <w:sz w:val="24"/>
          <w:szCs w:val="24"/>
        </w:rPr>
        <w:t xml:space="preserve"> was brother to Emma Darwin (née Wedgwood), wife of Charles Darwin. Wedgwood argues that the term trap is an English word that derives from the consequence of a dike stepping or trapping up or down the adjacent strata as in the English trap-door, or trap, as opposed to and much older than the word </w:t>
      </w:r>
      <w:proofErr w:type="spellStart"/>
      <w:r w:rsidR="00237B44" w:rsidRPr="00346DA7">
        <w:rPr>
          <w:i/>
          <w:iCs/>
          <w:sz w:val="24"/>
          <w:szCs w:val="24"/>
        </w:rPr>
        <w:t>trappa</w:t>
      </w:r>
      <w:proofErr w:type="spellEnd"/>
      <w:r w:rsidR="00237B44" w:rsidRPr="00346DA7">
        <w:rPr>
          <w:sz w:val="24"/>
          <w:szCs w:val="24"/>
        </w:rPr>
        <w:t>, Swedish for a flight of steps, supposedly introduced by Bergmann (1790), and cited by Lyell (1835).</w:t>
      </w:r>
    </w:p>
    <w:p w:rsidR="00DF7F35" w:rsidRPr="00346DA7" w:rsidRDefault="00DF7F35" w:rsidP="00D843E7">
      <w:pPr>
        <w:pStyle w:val="FootnoteText"/>
        <w:ind w:left="360" w:hanging="360"/>
        <w:rPr>
          <w:sz w:val="24"/>
          <w:szCs w:val="24"/>
        </w:rPr>
      </w:pPr>
    </w:p>
    <w:p w:rsidR="00DF7F35" w:rsidRPr="00346DA7" w:rsidRDefault="00DF7F35" w:rsidP="00D843E7">
      <w:pPr>
        <w:pStyle w:val="FootnoteText"/>
        <w:ind w:left="360" w:hanging="360"/>
        <w:rPr>
          <w:sz w:val="24"/>
          <w:szCs w:val="24"/>
        </w:rPr>
      </w:pPr>
      <w:r w:rsidRPr="00346DA7">
        <w:rPr>
          <w:sz w:val="24"/>
          <w:szCs w:val="24"/>
          <w:vertAlign w:val="superscript"/>
        </w:rPr>
        <w:t>4</w:t>
      </w:r>
      <w:r w:rsidR="00AB53B3" w:rsidRPr="00346DA7">
        <w:rPr>
          <w:sz w:val="24"/>
          <w:szCs w:val="24"/>
        </w:rPr>
        <w:tab/>
      </w:r>
      <w:r w:rsidRPr="00346DA7">
        <w:rPr>
          <w:sz w:val="24"/>
          <w:szCs w:val="24"/>
        </w:rPr>
        <w:t xml:space="preserve">The gray sandstones and minor sporomorph-bearing, dark gray mudstones at Forestville in the lower New Haven Formation [450 m above the formation’s base according to </w:t>
      </w:r>
      <w:proofErr w:type="spellStart"/>
      <w:r w:rsidRPr="00346DA7">
        <w:rPr>
          <w:sz w:val="24"/>
          <w:szCs w:val="24"/>
        </w:rPr>
        <w:t>Krynine</w:t>
      </w:r>
      <w:proofErr w:type="spellEnd"/>
      <w:r w:rsidRPr="00346DA7">
        <w:rPr>
          <w:sz w:val="24"/>
          <w:szCs w:val="24"/>
        </w:rPr>
        <w:t xml:space="preserve"> (1950).] These must represent more significant ponding and greater sediment water saturation than seen elsewhere in the formation although that could just an unusually deep oxbow or some other fluvially-associated pond. On other hand it could represent a short interval when basin accommodation space exceeded sediment supply, or even an upstream incursion of one of many huge lakes in the Newark Basin.</w:t>
      </w:r>
    </w:p>
    <w:p w:rsidR="00371BA3" w:rsidRPr="00346DA7" w:rsidRDefault="00371BA3" w:rsidP="00D843E7">
      <w:pPr>
        <w:pStyle w:val="FootnoteText"/>
        <w:ind w:left="360" w:hanging="360"/>
        <w:rPr>
          <w:sz w:val="24"/>
          <w:szCs w:val="24"/>
        </w:rPr>
      </w:pPr>
    </w:p>
    <w:p w:rsidR="00371BA3" w:rsidRPr="00346DA7" w:rsidRDefault="00371BA3" w:rsidP="00D843E7">
      <w:pPr>
        <w:pStyle w:val="FootnoteText"/>
        <w:ind w:left="360" w:hanging="360"/>
        <w:rPr>
          <w:rFonts w:cstheme="minorHAnsi"/>
          <w:sz w:val="24"/>
          <w:szCs w:val="24"/>
        </w:rPr>
      </w:pPr>
      <w:r w:rsidRPr="00346DA7">
        <w:rPr>
          <w:rStyle w:val="FootnoteReference"/>
          <w:sz w:val="24"/>
          <w:szCs w:val="24"/>
        </w:rPr>
        <w:t>5</w:t>
      </w:r>
      <w:r w:rsidR="00AB53B3" w:rsidRPr="00346DA7">
        <w:rPr>
          <w:sz w:val="24"/>
          <w:szCs w:val="24"/>
        </w:rPr>
        <w:tab/>
      </w:r>
      <w:r w:rsidRPr="00346DA7">
        <w:rPr>
          <w:rFonts w:cstheme="minorHAnsi"/>
          <w:sz w:val="24"/>
          <w:szCs w:val="24"/>
        </w:rPr>
        <w:t>Although because basin strata are tilted largely to the east, coarse, conglomeritic alluvial fan sequences adjacent to the fault are disproportionally represented in outcrop.</w:t>
      </w:r>
    </w:p>
    <w:p w:rsidR="00642B3A" w:rsidRPr="00346DA7" w:rsidRDefault="00642B3A" w:rsidP="00D843E7">
      <w:pPr>
        <w:pStyle w:val="FootnoteText"/>
        <w:ind w:left="360" w:hanging="360"/>
        <w:rPr>
          <w:rFonts w:cstheme="minorHAnsi"/>
          <w:sz w:val="24"/>
          <w:szCs w:val="24"/>
        </w:rPr>
      </w:pPr>
    </w:p>
    <w:p w:rsidR="00642B3A" w:rsidRPr="00346DA7" w:rsidRDefault="00981054" w:rsidP="00D843E7">
      <w:pPr>
        <w:pStyle w:val="FootnoteText"/>
        <w:ind w:left="360" w:hanging="360"/>
        <w:rPr>
          <w:sz w:val="24"/>
          <w:szCs w:val="24"/>
        </w:rPr>
      </w:pPr>
      <w:r w:rsidRPr="00346DA7">
        <w:rPr>
          <w:rStyle w:val="FootnoteReference"/>
          <w:rFonts w:cs="Times New Roman"/>
          <w:sz w:val="24"/>
          <w:szCs w:val="24"/>
        </w:rPr>
        <w:t>6</w:t>
      </w:r>
      <w:r w:rsidR="00642B3A" w:rsidRPr="00346DA7">
        <w:rPr>
          <w:sz w:val="24"/>
          <w:szCs w:val="24"/>
        </w:rPr>
        <w:t xml:space="preserve"> </w:t>
      </w:r>
      <w:r w:rsidR="00AB53B3" w:rsidRPr="00346DA7">
        <w:rPr>
          <w:sz w:val="24"/>
          <w:szCs w:val="24"/>
        </w:rPr>
        <w:tab/>
      </w:r>
      <w:r w:rsidR="00642B3A" w:rsidRPr="00346DA7">
        <w:rPr>
          <w:sz w:val="24"/>
          <w:szCs w:val="24"/>
        </w:rPr>
        <w:t>Assuming an accumulation rate of about 2.6m/20 kyr (0.13cm/kyr times 20kyr) for the New Haven Formation as estimated in footnote</w:t>
      </w:r>
      <w:r w:rsidR="00642B3A" w:rsidRPr="00346DA7">
        <w:rPr>
          <w:sz w:val="24"/>
          <w:szCs w:val="24"/>
        </w:rPr>
        <w:t xml:space="preserve"> 2</w:t>
      </w:r>
      <w:r w:rsidR="00642B3A" w:rsidRPr="00346DA7">
        <w:rPr>
          <w:sz w:val="24"/>
          <w:szCs w:val="24"/>
        </w:rPr>
        <w:t xml:space="preserve"> and an accumulation rate of 17m/20ky (Whiteside et al., 2011) for the lower Shuttle Meadow in the Silver Ridge Core, the ratio is about 6.5. </w:t>
      </w:r>
    </w:p>
    <w:p w:rsidR="001929D3" w:rsidRPr="00346DA7" w:rsidRDefault="001929D3" w:rsidP="00D843E7">
      <w:pPr>
        <w:pStyle w:val="FootnoteText"/>
        <w:ind w:left="360" w:hanging="360"/>
        <w:rPr>
          <w:sz w:val="24"/>
          <w:szCs w:val="24"/>
        </w:rPr>
      </w:pPr>
    </w:p>
    <w:p w:rsidR="001929D3" w:rsidRPr="00346DA7" w:rsidRDefault="001929D3" w:rsidP="00D843E7">
      <w:pPr>
        <w:pStyle w:val="FootnoteText"/>
        <w:ind w:left="360" w:hanging="360"/>
        <w:rPr>
          <w:sz w:val="24"/>
          <w:szCs w:val="24"/>
        </w:rPr>
      </w:pPr>
      <w:r w:rsidRPr="00346DA7">
        <w:rPr>
          <w:rStyle w:val="FootnoteReference"/>
          <w:sz w:val="24"/>
          <w:szCs w:val="24"/>
        </w:rPr>
        <w:t>7</w:t>
      </w:r>
      <w:r w:rsidR="00AB53B3" w:rsidRPr="00346DA7">
        <w:rPr>
          <w:sz w:val="24"/>
          <w:szCs w:val="24"/>
        </w:rPr>
        <w:tab/>
      </w:r>
      <w:r w:rsidRPr="00346DA7">
        <w:rPr>
          <w:sz w:val="24"/>
          <w:szCs w:val="24"/>
        </w:rPr>
        <w:t xml:space="preserve">The presence of three formations of igneous units interbedded and conformable with sedimentary strata forming trap ridges was recognized by Percival (1842). Davis (1889, 1896, 1898) decisively </w:t>
      </w:r>
      <w:r w:rsidRPr="00346DA7">
        <w:rPr>
          <w:rFonts w:cstheme="minorHAnsi"/>
          <w:sz w:val="24"/>
          <w:szCs w:val="24"/>
        </w:rPr>
        <w:t xml:space="preserve">established that these were lavas [as did </w:t>
      </w:r>
      <w:proofErr w:type="spellStart"/>
      <w:r w:rsidRPr="00346DA7">
        <w:rPr>
          <w:rFonts w:cstheme="minorHAnsi"/>
          <w:sz w:val="24"/>
          <w:szCs w:val="24"/>
        </w:rPr>
        <w:t>Darton</w:t>
      </w:r>
      <w:proofErr w:type="spellEnd"/>
      <w:r w:rsidRPr="00346DA7">
        <w:rPr>
          <w:rFonts w:cstheme="minorHAnsi"/>
          <w:sz w:val="24"/>
          <w:szCs w:val="24"/>
        </w:rPr>
        <w:t xml:space="preserve"> (1889) for </w:t>
      </w:r>
      <w:proofErr w:type="spellStart"/>
      <w:r w:rsidRPr="00346DA7">
        <w:rPr>
          <w:rFonts w:cstheme="minorHAnsi"/>
          <w:sz w:val="24"/>
          <w:szCs w:val="24"/>
        </w:rPr>
        <w:t>homotaxial</w:t>
      </w:r>
      <w:proofErr w:type="spellEnd"/>
      <w:r w:rsidRPr="00346DA7">
        <w:rPr>
          <w:rFonts w:cstheme="minorHAnsi"/>
          <w:sz w:val="24"/>
          <w:szCs w:val="24"/>
        </w:rPr>
        <w:t xml:space="preserve"> trap sheets in the Newark Basin], and Emerson (1898) named these sheets the Talcott, Holyoke, and Hampden in ascending order. Sanders (1968) termed the Talcott, the Talcott Formation on the assumed presence of major interbedded sedimentary sequence, which were used to divide the unit into informal members. However, these are no longer recognized (Olsen et al., 2003) (Steinen et al.2021).</w:t>
      </w:r>
    </w:p>
    <w:p w:rsidR="001929D3" w:rsidRPr="00346DA7" w:rsidRDefault="001929D3" w:rsidP="00D843E7">
      <w:pPr>
        <w:pStyle w:val="FootnoteText"/>
        <w:ind w:left="360" w:hanging="360"/>
        <w:rPr>
          <w:sz w:val="24"/>
          <w:szCs w:val="24"/>
        </w:rPr>
      </w:pPr>
    </w:p>
    <w:p w:rsidR="001929D3" w:rsidRPr="00346DA7" w:rsidRDefault="001929D3" w:rsidP="00D843E7">
      <w:pPr>
        <w:pStyle w:val="FootnoteText"/>
        <w:ind w:left="360" w:hanging="360"/>
        <w:rPr>
          <w:sz w:val="24"/>
          <w:szCs w:val="24"/>
        </w:rPr>
      </w:pPr>
      <w:r w:rsidRPr="00346DA7">
        <w:rPr>
          <w:rStyle w:val="FootnoteReference"/>
          <w:sz w:val="24"/>
          <w:szCs w:val="24"/>
        </w:rPr>
        <w:t>8</w:t>
      </w:r>
      <w:r w:rsidR="00AB53B3" w:rsidRPr="00346DA7">
        <w:rPr>
          <w:sz w:val="24"/>
          <w:szCs w:val="24"/>
        </w:rPr>
        <w:tab/>
      </w:r>
      <w:r w:rsidRPr="00346DA7">
        <w:rPr>
          <w:sz w:val="24"/>
          <w:szCs w:val="24"/>
        </w:rPr>
        <w:t>Both the terms “Ash” and Tuff” and the plural of the former have used (Olsen et al., 2016 -</w:t>
      </w:r>
      <w:proofErr w:type="spellStart"/>
      <w:r w:rsidRPr="00346DA7">
        <w:rPr>
          <w:sz w:val="24"/>
          <w:szCs w:val="24"/>
        </w:rPr>
        <w:t>gsa</w:t>
      </w:r>
      <w:proofErr w:type="spellEnd"/>
      <w:r w:rsidRPr="00346DA7">
        <w:rPr>
          <w:sz w:val="24"/>
          <w:szCs w:val="24"/>
        </w:rPr>
        <w:t xml:space="preserve"> </w:t>
      </w:r>
      <w:proofErr w:type="spellStart"/>
      <w:r w:rsidRPr="00346DA7">
        <w:rPr>
          <w:sz w:val="24"/>
          <w:szCs w:val="24"/>
        </w:rPr>
        <w:t>abst</w:t>
      </w:r>
      <w:proofErr w:type="spellEnd"/>
      <w:r w:rsidRPr="00346DA7">
        <w:rPr>
          <w:sz w:val="24"/>
          <w:szCs w:val="24"/>
        </w:rPr>
        <w:t>), (Olsen et al., 2022 -</w:t>
      </w:r>
      <w:proofErr w:type="spellStart"/>
      <w:r w:rsidRPr="00346DA7">
        <w:rPr>
          <w:sz w:val="24"/>
          <w:szCs w:val="24"/>
        </w:rPr>
        <w:t>gsa</w:t>
      </w:r>
      <w:proofErr w:type="spellEnd"/>
      <w:r w:rsidRPr="00346DA7">
        <w:rPr>
          <w:sz w:val="24"/>
          <w:szCs w:val="24"/>
        </w:rPr>
        <w:t xml:space="preserve"> </w:t>
      </w:r>
      <w:proofErr w:type="spellStart"/>
      <w:r w:rsidRPr="00346DA7">
        <w:rPr>
          <w:sz w:val="24"/>
          <w:szCs w:val="24"/>
        </w:rPr>
        <w:t>abst</w:t>
      </w:r>
      <w:proofErr w:type="spellEnd"/>
      <w:r w:rsidRPr="00346DA7">
        <w:rPr>
          <w:sz w:val="24"/>
          <w:szCs w:val="24"/>
        </w:rPr>
        <w:t xml:space="preserve">) (Whiteside et al., 2010). The lower thicker ash was recognized early on, with the overlying second ash being documented later. The name is from outcrops along a small stream in “The Glen” in Wayne, New Jersey (40.990952°, -74.269728°) (Whiteside et al., 2010; Olsen, 2010), although the site is called Pompton, New </w:t>
      </w:r>
      <w:r w:rsidRPr="00346DA7">
        <w:rPr>
          <w:sz w:val="24"/>
          <w:szCs w:val="24"/>
        </w:rPr>
        <w:lastRenderedPageBreak/>
        <w:t>Jersey because of historical precedent (Redfield, 1842). The name “Westfield Tuff” was used first for the ash (Olsen et al., 2005) but dropped to avoid confusion with the Westfield Bed, even though its initial discovery was at East Berlin in the Westfield Bed (Philpotts in Olsen et al., 2005) (see Stop 7).</w:t>
      </w:r>
    </w:p>
    <w:p w:rsidR="000F1932" w:rsidRPr="00346DA7" w:rsidRDefault="000F1932" w:rsidP="00D843E7">
      <w:pPr>
        <w:pStyle w:val="FootnoteText"/>
        <w:ind w:left="360" w:hanging="360"/>
        <w:rPr>
          <w:sz w:val="24"/>
          <w:szCs w:val="24"/>
        </w:rPr>
      </w:pPr>
    </w:p>
    <w:p w:rsidR="000F1932" w:rsidRPr="00346DA7" w:rsidRDefault="000F1932" w:rsidP="00D843E7">
      <w:pPr>
        <w:pStyle w:val="FootnoteText"/>
        <w:ind w:left="360" w:hanging="360"/>
        <w:rPr>
          <w:sz w:val="24"/>
          <w:szCs w:val="24"/>
        </w:rPr>
      </w:pPr>
      <w:r w:rsidRPr="00346DA7">
        <w:rPr>
          <w:sz w:val="24"/>
          <w:szCs w:val="24"/>
          <w:vertAlign w:val="superscript"/>
        </w:rPr>
        <w:t>9</w:t>
      </w:r>
      <w:r w:rsidR="00AB53B3" w:rsidRPr="00346DA7">
        <w:rPr>
          <w:sz w:val="24"/>
          <w:szCs w:val="24"/>
        </w:rPr>
        <w:tab/>
      </w:r>
      <w:proofErr w:type="spellStart"/>
      <w:r w:rsidR="00AB53B3" w:rsidRPr="00346DA7">
        <w:rPr>
          <w:sz w:val="24"/>
          <w:szCs w:val="24"/>
        </w:rPr>
        <w:t>å</w:t>
      </w:r>
      <w:r w:rsidRPr="00346DA7">
        <w:rPr>
          <w:sz w:val="24"/>
          <w:szCs w:val="24"/>
        </w:rPr>
        <w:t>In</w:t>
      </w:r>
      <w:proofErr w:type="spellEnd"/>
      <w:r w:rsidRPr="00346DA7">
        <w:rPr>
          <w:sz w:val="24"/>
          <w:szCs w:val="24"/>
        </w:rPr>
        <w:t xml:space="preserve"> addition to the brief discussion by Gray (1982), the only scientific references we could find are very short article on prehnite by Foster (1943) and other mentions of minerals (e.g., Schooner, 1961). This is despite the importance of these lava tubes to the famous, albeit murky and plausibly apocryphal, legend of “King Philip’s Cave” [e.g., Ellsworth, 1935; Phelps, 1899]. A similar lava tube is present in the second flow of the Orange Mountain Basalt, roofed in prehnite and floored by pink ripple cross-laminated siltstone Olsen et al. (2012).</w:t>
      </w:r>
    </w:p>
    <w:p w:rsidR="00E03571" w:rsidRPr="00346DA7" w:rsidRDefault="00E03571" w:rsidP="00D843E7">
      <w:pPr>
        <w:pStyle w:val="FootnoteText"/>
        <w:ind w:left="360" w:hanging="360"/>
        <w:rPr>
          <w:sz w:val="36"/>
          <w:szCs w:val="36"/>
        </w:rPr>
      </w:pPr>
    </w:p>
    <w:p w:rsidR="00E03571" w:rsidRPr="00346DA7" w:rsidRDefault="00E03571" w:rsidP="00D843E7">
      <w:pPr>
        <w:pStyle w:val="FootnoteText"/>
        <w:ind w:left="360" w:hanging="360"/>
        <w:rPr>
          <w:sz w:val="36"/>
          <w:szCs w:val="36"/>
        </w:rPr>
      </w:pPr>
      <w:r w:rsidRPr="00346DA7">
        <w:rPr>
          <w:rStyle w:val="FootnoteReference"/>
          <w:sz w:val="24"/>
          <w:szCs w:val="24"/>
        </w:rPr>
        <w:t>1</w:t>
      </w:r>
      <w:r w:rsidRPr="00346DA7">
        <w:rPr>
          <w:sz w:val="24"/>
          <w:szCs w:val="24"/>
          <w:vertAlign w:val="superscript"/>
        </w:rPr>
        <w:t>0</w:t>
      </w:r>
      <w:r w:rsidRPr="00346DA7">
        <w:rPr>
          <w:sz w:val="24"/>
          <w:szCs w:val="24"/>
        </w:rPr>
        <w:t xml:space="preserve"> The Bryan et al. (2010) compilation, “The largest volcanic eruptions on Earth” is useful, but in our Table 1 we have left out estimates of volumes we could not verify from the original sources. </w:t>
      </w:r>
      <w:r w:rsidRPr="00346DA7">
        <w:rPr>
          <w:rFonts w:cstheme="minorHAnsi"/>
          <w:sz w:val="24"/>
          <w:szCs w:val="24"/>
        </w:rPr>
        <w:t>We should note that generally authors have tended to calculate volumes of series of flows or whole provinces, as opposed to individual flows making comparisons difficult and calibrating specific rate-dependent processes impossible.</w:t>
      </w:r>
    </w:p>
    <w:p w:rsidR="001929D3" w:rsidRPr="00346DA7" w:rsidRDefault="001929D3" w:rsidP="00D843E7">
      <w:pPr>
        <w:pStyle w:val="FootnoteText"/>
        <w:ind w:left="360" w:hanging="360"/>
        <w:rPr>
          <w:sz w:val="24"/>
          <w:szCs w:val="24"/>
        </w:rPr>
      </w:pPr>
    </w:p>
    <w:p w:rsidR="003E372C" w:rsidRPr="00346DA7" w:rsidRDefault="003E372C" w:rsidP="00D843E7">
      <w:pPr>
        <w:pStyle w:val="FootnoteText"/>
        <w:ind w:left="360" w:hanging="360"/>
        <w:rPr>
          <w:sz w:val="24"/>
          <w:szCs w:val="24"/>
        </w:rPr>
      </w:pPr>
      <w:r w:rsidRPr="00346DA7">
        <w:rPr>
          <w:rStyle w:val="FootnoteReference"/>
          <w:sz w:val="24"/>
          <w:szCs w:val="24"/>
        </w:rPr>
        <w:t>1</w:t>
      </w:r>
      <w:r w:rsidRPr="00346DA7">
        <w:rPr>
          <w:sz w:val="24"/>
          <w:szCs w:val="24"/>
          <w:vertAlign w:val="superscript"/>
        </w:rPr>
        <w:t>1</w:t>
      </w:r>
      <w:r w:rsidRPr="00346DA7">
        <w:rPr>
          <w:sz w:val="24"/>
          <w:szCs w:val="24"/>
        </w:rPr>
        <w:t xml:space="preserve"> </w:t>
      </w:r>
      <w:r w:rsidRPr="00346DA7">
        <w:rPr>
          <w:sz w:val="24"/>
          <w:szCs w:val="24"/>
        </w:rPr>
        <w:t>The Proterozoic (1.1 Ga), Keweenawan, Greenstone Flow, located in Michigan holds the record at ~ 400 m thick based on boreholes (Cornwall, 1951), although estimates vary. The second Holyoke flow is about 200 m (Philpotts et al. 2005); its equivalent, the second flow of the Preakness Basalt is 128 m (</w:t>
      </w:r>
      <w:proofErr w:type="spellStart"/>
      <w:r w:rsidRPr="00346DA7">
        <w:rPr>
          <w:sz w:val="24"/>
          <w:szCs w:val="24"/>
        </w:rPr>
        <w:t>Fedosh</w:t>
      </w:r>
      <w:proofErr w:type="spellEnd"/>
      <w:r w:rsidRPr="00346DA7">
        <w:rPr>
          <w:sz w:val="24"/>
          <w:szCs w:val="24"/>
        </w:rPr>
        <w:t xml:space="preserve"> and Smoot, 1988) to 200 m [based on multiplying the thickness of the </w:t>
      </w:r>
      <w:proofErr w:type="spellStart"/>
      <w:r w:rsidRPr="00346DA7">
        <w:rPr>
          <w:sz w:val="24"/>
          <w:szCs w:val="24"/>
        </w:rPr>
        <w:t>Feltville</w:t>
      </w:r>
      <w:proofErr w:type="spellEnd"/>
      <w:r w:rsidRPr="00346DA7">
        <w:rPr>
          <w:sz w:val="24"/>
          <w:szCs w:val="24"/>
        </w:rPr>
        <w:t xml:space="preserve"> plus Orange Mountain Basalt (342 m) to the ratio of the map distance across the locally lowest Preakness flow from the Martinsville no 1 core site to its top (flow 2: 1373) to the map distance from the Martinsville no 1 core site to the base of the Orange Mountain Basalt (2348 m) (342*1373/2348=200 m)]; and another equivalent, the lowest Sander Basalt flow is 220 m thick based on outcrops and quarry drill cores (Olsen et al. 2007). In contrast, the Rosa flow, the thickest of the Miocene Columbia River Plateau Basalt Group tops out at around 62 m (</w:t>
      </w:r>
      <w:proofErr w:type="spellStart"/>
      <w:r w:rsidRPr="00346DA7">
        <w:rPr>
          <w:sz w:val="24"/>
          <w:szCs w:val="24"/>
        </w:rPr>
        <w:t>Thordarson</w:t>
      </w:r>
      <w:proofErr w:type="spellEnd"/>
      <w:r w:rsidRPr="00346DA7">
        <w:rPr>
          <w:sz w:val="24"/>
          <w:szCs w:val="24"/>
        </w:rPr>
        <w:t xml:space="preserve"> and Self, 1998). Although estimates of thickness of individual flows are hard to come by, even the those of the Deccan and </w:t>
      </w:r>
      <w:r w:rsidRPr="00346DA7">
        <w:rPr>
          <w:rFonts w:cstheme="minorHAnsi"/>
          <w:sz w:val="24"/>
          <w:szCs w:val="24"/>
        </w:rPr>
        <w:t xml:space="preserve">Rajahmundry Traps </w:t>
      </w:r>
      <w:r w:rsidRPr="00346DA7">
        <w:rPr>
          <w:sz w:val="24"/>
          <w:szCs w:val="24"/>
        </w:rPr>
        <w:t xml:space="preserve">(e.g., </w:t>
      </w:r>
      <w:proofErr w:type="spellStart"/>
      <w:r w:rsidRPr="00346DA7">
        <w:rPr>
          <w:sz w:val="24"/>
          <w:szCs w:val="24"/>
        </w:rPr>
        <w:t>Renne</w:t>
      </w:r>
      <w:proofErr w:type="spellEnd"/>
      <w:r w:rsidRPr="00346DA7">
        <w:rPr>
          <w:sz w:val="24"/>
          <w:szCs w:val="24"/>
        </w:rPr>
        <w:t xml:space="preserve"> et al., 2015; Self et al., 2008) and Siberian Traps (e.g., Ivanov, 2007) are thinner than the Holyoke.</w:t>
      </w:r>
    </w:p>
    <w:p w:rsidR="003E372C" w:rsidRPr="00346DA7" w:rsidRDefault="003E372C" w:rsidP="00D843E7">
      <w:pPr>
        <w:pStyle w:val="FootnoteText"/>
        <w:ind w:left="360" w:hanging="360"/>
        <w:rPr>
          <w:sz w:val="24"/>
          <w:szCs w:val="24"/>
        </w:rPr>
      </w:pPr>
    </w:p>
    <w:p w:rsidR="003E372C" w:rsidRPr="00346DA7" w:rsidRDefault="003E372C" w:rsidP="00D843E7">
      <w:pPr>
        <w:pStyle w:val="FootnoteText"/>
        <w:ind w:left="360" w:hanging="360"/>
        <w:rPr>
          <w:sz w:val="24"/>
          <w:szCs w:val="24"/>
        </w:rPr>
      </w:pPr>
      <w:r w:rsidRPr="00346DA7">
        <w:rPr>
          <w:rStyle w:val="FootnoteReference"/>
          <w:sz w:val="24"/>
          <w:szCs w:val="24"/>
        </w:rPr>
        <w:footnoteRef/>
      </w:r>
      <w:r w:rsidRPr="00346DA7">
        <w:rPr>
          <w:sz w:val="24"/>
          <w:szCs w:val="24"/>
          <w:vertAlign w:val="superscript"/>
        </w:rPr>
        <w:t>2</w:t>
      </w:r>
      <w:r w:rsidRPr="00346DA7">
        <w:rPr>
          <w:sz w:val="24"/>
          <w:szCs w:val="24"/>
        </w:rPr>
        <w:t xml:space="preserve"> Assuming the flow was continuous between basins prior to erosion yields very roughly an area of 20000 km2 for the flow and assuming a thickness averaging a conservative 150 m this yields 3000 km2. Assuming the flows were continuous within a basin but did not extend beyond (perhaps fed from the side by a giant extension of the Buttress Ware dike) we get very roughly 13650 km</w:t>
      </w:r>
      <w:r w:rsidRPr="00346DA7">
        <w:rPr>
          <w:sz w:val="24"/>
          <w:szCs w:val="24"/>
          <w:vertAlign w:val="superscript"/>
        </w:rPr>
        <w:t>2</w:t>
      </w:r>
      <w:r w:rsidRPr="00346DA7">
        <w:rPr>
          <w:sz w:val="24"/>
          <w:szCs w:val="24"/>
        </w:rPr>
        <w:t xml:space="preserve"> and with the same average thickness this would be roughly 2048 km</w:t>
      </w:r>
      <w:r w:rsidRPr="00346DA7">
        <w:rPr>
          <w:sz w:val="24"/>
          <w:szCs w:val="24"/>
          <w:vertAlign w:val="superscript"/>
        </w:rPr>
        <w:t>2</w:t>
      </w:r>
      <w:r w:rsidRPr="00346DA7">
        <w:rPr>
          <w:sz w:val="24"/>
          <w:szCs w:val="24"/>
        </w:rPr>
        <w:t>. Splitting the difference this give us very approximately 2500 km</w:t>
      </w:r>
      <w:r w:rsidRPr="00346DA7">
        <w:rPr>
          <w:sz w:val="24"/>
          <w:szCs w:val="24"/>
          <w:vertAlign w:val="superscript"/>
        </w:rPr>
        <w:t>3</w:t>
      </w:r>
      <w:r w:rsidRPr="00346DA7">
        <w:rPr>
          <w:sz w:val="24"/>
          <w:szCs w:val="24"/>
        </w:rPr>
        <w:t>.</w:t>
      </w:r>
    </w:p>
    <w:p w:rsidR="00BD6775" w:rsidRPr="00346DA7" w:rsidRDefault="00BD6775" w:rsidP="00D843E7">
      <w:pPr>
        <w:pStyle w:val="FootnoteText"/>
        <w:ind w:left="360" w:hanging="360"/>
        <w:rPr>
          <w:sz w:val="24"/>
          <w:szCs w:val="24"/>
        </w:rPr>
      </w:pPr>
    </w:p>
    <w:p w:rsidR="003E372C" w:rsidRPr="00346DA7" w:rsidRDefault="00BD6775" w:rsidP="00D843E7">
      <w:pPr>
        <w:pStyle w:val="FootnoteText"/>
        <w:ind w:left="360" w:hanging="360"/>
        <w:rPr>
          <w:sz w:val="24"/>
          <w:szCs w:val="24"/>
        </w:rPr>
      </w:pPr>
      <w:r w:rsidRPr="00346DA7">
        <w:rPr>
          <w:sz w:val="24"/>
          <w:szCs w:val="24"/>
          <w:vertAlign w:val="superscript"/>
        </w:rPr>
        <w:t>13</w:t>
      </w:r>
      <w:r w:rsidR="003E372C" w:rsidRPr="00346DA7">
        <w:rPr>
          <w:sz w:val="24"/>
          <w:szCs w:val="24"/>
        </w:rPr>
        <w:t xml:space="preserve"> For example, the second flow of the Holyoke at Plainville (41.673872°, -72.820535°) has the splintery fracture; at </w:t>
      </w:r>
      <w:proofErr w:type="spellStart"/>
      <w:r w:rsidR="003E372C" w:rsidRPr="00346DA7">
        <w:rPr>
          <w:sz w:val="24"/>
          <w:szCs w:val="24"/>
        </w:rPr>
        <w:t>Tariffville</w:t>
      </w:r>
      <w:proofErr w:type="spellEnd"/>
      <w:r w:rsidR="003E372C" w:rsidRPr="00346DA7">
        <w:rPr>
          <w:sz w:val="24"/>
          <w:szCs w:val="24"/>
        </w:rPr>
        <w:t>, Connecticut (41.901456°, -72.759085°) the splintery fracture is not obvious; and at West Suffield, Connecticut (42.007208°, -72.72802) the splintery fracture is spectacularly obvious. These seem to be manifestations of the same flow changing laterally.</w:t>
      </w:r>
    </w:p>
    <w:p w:rsidR="00E33419" w:rsidRPr="00346DA7" w:rsidRDefault="00E33419" w:rsidP="00D843E7">
      <w:pPr>
        <w:pStyle w:val="FootnoteText"/>
        <w:ind w:left="360" w:hanging="360"/>
        <w:rPr>
          <w:sz w:val="24"/>
          <w:szCs w:val="24"/>
        </w:rPr>
      </w:pPr>
    </w:p>
    <w:p w:rsidR="00956723" w:rsidRPr="00346DA7" w:rsidRDefault="00956723" w:rsidP="00D843E7">
      <w:pPr>
        <w:pStyle w:val="FootnoteText"/>
        <w:ind w:left="360" w:hanging="360"/>
        <w:rPr>
          <w:sz w:val="24"/>
          <w:szCs w:val="24"/>
        </w:rPr>
      </w:pPr>
      <w:r w:rsidRPr="00346DA7">
        <w:rPr>
          <w:rStyle w:val="FootnoteReference"/>
          <w:sz w:val="24"/>
          <w:szCs w:val="24"/>
        </w:rPr>
        <w:t>1</w:t>
      </w:r>
      <w:r w:rsidRPr="00346DA7">
        <w:rPr>
          <w:sz w:val="24"/>
          <w:szCs w:val="24"/>
          <w:vertAlign w:val="superscript"/>
        </w:rPr>
        <w:t>4</w:t>
      </w:r>
      <w:r w:rsidRPr="00346DA7">
        <w:rPr>
          <w:sz w:val="24"/>
          <w:szCs w:val="24"/>
          <w:vertAlign w:val="superscript"/>
        </w:rPr>
        <w:t xml:space="preserve"> </w:t>
      </w:r>
      <w:proofErr w:type="spellStart"/>
      <w:r w:rsidRPr="00346DA7">
        <w:rPr>
          <w:sz w:val="24"/>
          <w:szCs w:val="24"/>
        </w:rPr>
        <w:t>Tollo</w:t>
      </w:r>
      <w:proofErr w:type="spellEnd"/>
      <w:r w:rsidRPr="00346DA7">
        <w:rPr>
          <w:sz w:val="24"/>
          <w:szCs w:val="24"/>
        </w:rPr>
        <w:t xml:space="preserve"> and </w:t>
      </w:r>
      <w:proofErr w:type="spellStart"/>
      <w:r w:rsidRPr="00346DA7">
        <w:rPr>
          <w:sz w:val="24"/>
          <w:szCs w:val="24"/>
        </w:rPr>
        <w:t>Gottfied</w:t>
      </w:r>
      <w:proofErr w:type="spellEnd"/>
      <w:r w:rsidRPr="00346DA7">
        <w:rPr>
          <w:sz w:val="24"/>
          <w:szCs w:val="24"/>
        </w:rPr>
        <w:t xml:space="preserve"> (1992) recognize a lower P-6 and upper P-7 flow identified in separate but stratigraphically close cores (ACE PT-19 and PT-18, respectively). In the absence of any flow boundaries and given their close geographic proximity, we regard them as a single flow, although they may not overlap.</w:t>
      </w:r>
    </w:p>
    <w:p w:rsidR="00AD20E4" w:rsidRPr="00346DA7" w:rsidRDefault="00AD20E4" w:rsidP="00D843E7">
      <w:pPr>
        <w:pStyle w:val="FootnoteText"/>
        <w:ind w:left="360" w:hanging="360"/>
        <w:rPr>
          <w:sz w:val="24"/>
          <w:szCs w:val="24"/>
        </w:rPr>
      </w:pPr>
      <w:r w:rsidRPr="00346DA7">
        <w:rPr>
          <w:sz w:val="24"/>
          <w:szCs w:val="24"/>
          <w:vertAlign w:val="superscript"/>
        </w:rPr>
        <w:t>15</w:t>
      </w:r>
      <w:r w:rsidRPr="00346DA7">
        <w:rPr>
          <w:sz w:val="24"/>
          <w:szCs w:val="24"/>
        </w:rPr>
        <w:t xml:space="preserve"> </w:t>
      </w:r>
      <w:r w:rsidRPr="00346DA7">
        <w:rPr>
          <w:sz w:val="24"/>
          <w:szCs w:val="24"/>
        </w:rPr>
        <w:t>The identification of the red-orange mineral as a member of the jarosite solid solution group was suggested by Dennis Kent (LDEO/Rutgers). Sean Kinney (Rutgers/LDEO) and attempted to determine the minerology using XRD, but the crystal size of the mineral(s) was too small for a determination.</w:t>
      </w:r>
    </w:p>
    <w:p w:rsidR="00AD20E4" w:rsidRPr="00346DA7" w:rsidRDefault="00AD20E4" w:rsidP="00D843E7">
      <w:pPr>
        <w:pStyle w:val="FootnoteText"/>
        <w:ind w:left="360" w:hanging="360"/>
        <w:rPr>
          <w:sz w:val="24"/>
          <w:szCs w:val="24"/>
        </w:rPr>
      </w:pPr>
    </w:p>
    <w:p w:rsidR="00AD20E4" w:rsidRPr="00346DA7" w:rsidRDefault="00AD20E4" w:rsidP="00D843E7">
      <w:pPr>
        <w:pStyle w:val="FootnoteText"/>
        <w:ind w:left="360" w:hanging="360"/>
        <w:rPr>
          <w:sz w:val="24"/>
          <w:szCs w:val="24"/>
        </w:rPr>
      </w:pPr>
      <w:r w:rsidRPr="00346DA7">
        <w:rPr>
          <w:sz w:val="24"/>
          <w:szCs w:val="24"/>
          <w:vertAlign w:val="superscript"/>
        </w:rPr>
        <w:t>16</w:t>
      </w:r>
      <w:r w:rsidRPr="00346DA7">
        <w:rPr>
          <w:sz w:val="24"/>
          <w:szCs w:val="24"/>
        </w:rPr>
        <w:t xml:space="preserve"> In the Hartford Basin, the Pompton Ashes have been found in Metropolitan District Commission cores BD-225 and BD-226 from Hartford and outcrops at Mount Tom, Massachusetts, stream beds at Kensington, Durham (Stevens), and Westfield, Connecticut, and at the discovery site on the Rt 9 on ramp at East Berlin, Connecticut. In the Newark Basin, the Pompton Ashes have been found in ACE cores PT-14 and C-128 (Rutgers Core Repository) and at the type section in Wayne new Jersey called Pompton (see footnote 7). </w:t>
      </w:r>
    </w:p>
    <w:p w:rsidR="00AD20E4" w:rsidRPr="00346DA7" w:rsidRDefault="00AD20E4" w:rsidP="00D843E7">
      <w:pPr>
        <w:pStyle w:val="FootnoteText"/>
        <w:ind w:left="360" w:hanging="360"/>
        <w:rPr>
          <w:sz w:val="24"/>
          <w:szCs w:val="24"/>
        </w:rPr>
      </w:pPr>
    </w:p>
    <w:p w:rsidR="00AD20E4" w:rsidRPr="00346DA7" w:rsidRDefault="00AD20E4" w:rsidP="00D843E7">
      <w:pPr>
        <w:pStyle w:val="FootnoteText"/>
        <w:ind w:left="360" w:hanging="360"/>
        <w:rPr>
          <w:sz w:val="24"/>
          <w:szCs w:val="24"/>
        </w:rPr>
      </w:pPr>
      <w:r w:rsidRPr="00346DA7">
        <w:rPr>
          <w:sz w:val="24"/>
          <w:szCs w:val="24"/>
          <w:vertAlign w:val="superscript"/>
        </w:rPr>
        <w:t>17</w:t>
      </w:r>
      <w:r w:rsidRPr="00346DA7">
        <w:rPr>
          <w:sz w:val="24"/>
          <w:szCs w:val="24"/>
        </w:rPr>
        <w:t xml:space="preserve"> Courtesy Lawrence Percival (Vrije Universiteit, Amsterdam)</w:t>
      </w:r>
    </w:p>
    <w:p w:rsidR="00AD20E4" w:rsidRPr="00346DA7" w:rsidRDefault="00AD20E4" w:rsidP="00D843E7">
      <w:pPr>
        <w:pStyle w:val="FootnoteText"/>
        <w:ind w:left="360" w:hanging="360"/>
        <w:rPr>
          <w:sz w:val="24"/>
          <w:szCs w:val="24"/>
        </w:rPr>
      </w:pPr>
    </w:p>
    <w:p w:rsidR="00AD20E4" w:rsidRPr="00346DA7" w:rsidRDefault="00AD20E4" w:rsidP="00D843E7">
      <w:pPr>
        <w:pStyle w:val="FootnoteText"/>
        <w:ind w:left="360" w:hanging="360"/>
      </w:pPr>
      <w:r w:rsidRPr="00346DA7">
        <w:rPr>
          <w:sz w:val="24"/>
          <w:szCs w:val="24"/>
          <w:vertAlign w:val="superscript"/>
        </w:rPr>
        <w:t>18</w:t>
      </w:r>
      <w:r w:rsidRPr="00346DA7">
        <w:rPr>
          <w:sz w:val="24"/>
          <w:szCs w:val="24"/>
        </w:rPr>
        <w:t xml:space="preserve"> Courtesy Steven Jaret (AMNH/CUNY, Kingsborough Community College)</w:t>
      </w:r>
    </w:p>
    <w:p w:rsidR="00AD20E4" w:rsidRPr="00346DA7" w:rsidRDefault="00AD20E4" w:rsidP="00D843E7">
      <w:pPr>
        <w:pStyle w:val="FootnoteText"/>
        <w:ind w:left="360" w:hanging="360"/>
        <w:rPr>
          <w:sz w:val="24"/>
          <w:szCs w:val="24"/>
        </w:rPr>
      </w:pPr>
    </w:p>
    <w:p w:rsidR="00AD20E4" w:rsidRPr="00346DA7" w:rsidRDefault="00AD20E4" w:rsidP="00D843E7">
      <w:pPr>
        <w:pStyle w:val="FootnoteText"/>
        <w:ind w:left="360" w:hanging="360"/>
        <w:rPr>
          <w:sz w:val="24"/>
          <w:szCs w:val="24"/>
        </w:rPr>
      </w:pPr>
      <w:r w:rsidRPr="00346DA7">
        <w:rPr>
          <w:rStyle w:val="FootnoteReference"/>
          <w:sz w:val="24"/>
          <w:szCs w:val="24"/>
        </w:rPr>
        <w:t>1</w:t>
      </w:r>
      <w:r w:rsidRPr="00346DA7">
        <w:rPr>
          <w:sz w:val="24"/>
          <w:szCs w:val="24"/>
          <w:vertAlign w:val="superscript"/>
        </w:rPr>
        <w:t>9</w:t>
      </w:r>
      <w:r w:rsidRPr="00346DA7">
        <w:rPr>
          <w:sz w:val="24"/>
          <w:szCs w:val="24"/>
        </w:rPr>
        <w:t xml:space="preserve"> Ashes actually decrease in a more complex way – a subject of considerable controversy because of the need to predict airfall from modern eruptions. Minimally, several exponential segments or other functions are required to describe the fall of thickness from an eruption (</w:t>
      </w:r>
      <w:proofErr w:type="spellStart"/>
      <w:r w:rsidRPr="00346DA7">
        <w:rPr>
          <w:sz w:val="24"/>
          <w:szCs w:val="24"/>
        </w:rPr>
        <w:t>Daggitt</w:t>
      </w:r>
      <w:proofErr w:type="spellEnd"/>
      <w:r w:rsidRPr="00346DA7">
        <w:rPr>
          <w:sz w:val="24"/>
          <w:szCs w:val="24"/>
        </w:rPr>
        <w:t xml:space="preserve"> et al., 2014; </w:t>
      </w:r>
      <w:proofErr w:type="spellStart"/>
      <w:r w:rsidRPr="00346DA7">
        <w:rPr>
          <w:sz w:val="24"/>
          <w:szCs w:val="24"/>
        </w:rPr>
        <w:t>Gatti</w:t>
      </w:r>
      <w:proofErr w:type="spellEnd"/>
      <w:r w:rsidRPr="00346DA7">
        <w:rPr>
          <w:sz w:val="24"/>
          <w:szCs w:val="24"/>
        </w:rPr>
        <w:t xml:space="preserve"> and Oppenheimer, 2012; </w:t>
      </w:r>
      <w:proofErr w:type="spellStart"/>
      <w:r w:rsidRPr="00346DA7">
        <w:rPr>
          <w:sz w:val="24"/>
          <w:szCs w:val="24"/>
        </w:rPr>
        <w:t>Mastin</w:t>
      </w:r>
      <w:proofErr w:type="spellEnd"/>
      <w:r w:rsidRPr="00346DA7">
        <w:rPr>
          <w:sz w:val="24"/>
          <w:szCs w:val="24"/>
        </w:rPr>
        <w:t xml:space="preserve"> et al., 2014).</w:t>
      </w:r>
    </w:p>
    <w:p w:rsidR="00060E57" w:rsidRPr="00346DA7" w:rsidRDefault="00060E57" w:rsidP="00D843E7">
      <w:pPr>
        <w:pStyle w:val="FootnoteText"/>
        <w:ind w:left="360" w:hanging="360"/>
        <w:rPr>
          <w:sz w:val="24"/>
          <w:szCs w:val="24"/>
        </w:rPr>
      </w:pPr>
    </w:p>
    <w:p w:rsidR="00060E57" w:rsidRPr="00346DA7" w:rsidRDefault="00060E57" w:rsidP="00D843E7">
      <w:pPr>
        <w:pStyle w:val="FootnoteText"/>
        <w:ind w:left="360" w:hanging="360"/>
        <w:rPr>
          <w:sz w:val="24"/>
          <w:szCs w:val="24"/>
        </w:rPr>
      </w:pPr>
      <w:r w:rsidRPr="00346DA7">
        <w:rPr>
          <w:rStyle w:val="FootnoteReference"/>
          <w:sz w:val="24"/>
          <w:szCs w:val="24"/>
        </w:rPr>
        <w:t>2</w:t>
      </w:r>
      <w:r w:rsidRPr="00346DA7">
        <w:rPr>
          <w:sz w:val="24"/>
          <w:szCs w:val="24"/>
          <w:vertAlign w:val="superscript"/>
        </w:rPr>
        <w:t>0</w:t>
      </w:r>
      <w:r w:rsidRPr="00346DA7">
        <w:rPr>
          <w:sz w:val="24"/>
          <w:szCs w:val="24"/>
        </w:rPr>
        <w:t xml:space="preserve"> Andrea </w:t>
      </w:r>
      <w:proofErr w:type="spellStart"/>
      <w:r w:rsidRPr="00346DA7">
        <w:rPr>
          <w:sz w:val="24"/>
          <w:szCs w:val="24"/>
        </w:rPr>
        <w:t>Marzoli</w:t>
      </w:r>
      <w:proofErr w:type="spellEnd"/>
      <w:r w:rsidRPr="00346DA7">
        <w:rPr>
          <w:sz w:val="24"/>
          <w:szCs w:val="24"/>
        </w:rPr>
        <w:t xml:space="preserve"> (</w:t>
      </w:r>
      <w:proofErr w:type="spellStart"/>
      <w:r w:rsidRPr="00346DA7">
        <w:rPr>
          <w:sz w:val="24"/>
          <w:szCs w:val="24"/>
        </w:rPr>
        <w:t>Univerità</w:t>
      </w:r>
      <w:proofErr w:type="spellEnd"/>
      <w:r w:rsidRPr="00346DA7">
        <w:rPr>
          <w:sz w:val="24"/>
          <w:szCs w:val="24"/>
        </w:rPr>
        <w:t xml:space="preserve"> </w:t>
      </w:r>
      <w:proofErr w:type="spellStart"/>
      <w:r w:rsidRPr="00346DA7">
        <w:rPr>
          <w:sz w:val="24"/>
          <w:szCs w:val="24"/>
        </w:rPr>
        <w:t>degli</w:t>
      </w:r>
      <w:proofErr w:type="spellEnd"/>
      <w:r w:rsidRPr="00346DA7">
        <w:rPr>
          <w:sz w:val="24"/>
          <w:szCs w:val="24"/>
        </w:rPr>
        <w:t xml:space="preserve"> </w:t>
      </w:r>
      <w:proofErr w:type="spellStart"/>
      <w:r w:rsidRPr="00346DA7">
        <w:rPr>
          <w:sz w:val="24"/>
          <w:szCs w:val="24"/>
        </w:rPr>
        <w:t>Studi</w:t>
      </w:r>
      <w:proofErr w:type="spellEnd"/>
      <w:r w:rsidRPr="00346DA7">
        <w:rPr>
          <w:sz w:val="24"/>
          <w:szCs w:val="24"/>
        </w:rPr>
        <w:t xml:space="preserve"> di Padova) kindly shared his elemental analyses for the </w:t>
      </w:r>
      <w:proofErr w:type="spellStart"/>
      <w:r w:rsidRPr="00346DA7">
        <w:rPr>
          <w:rFonts w:eastAsia="Times New Roman" w:cstheme="minorHAnsi"/>
          <w:sz w:val="24"/>
          <w:szCs w:val="24"/>
        </w:rPr>
        <w:t>Foum</w:t>
      </w:r>
      <w:proofErr w:type="spellEnd"/>
      <w:r w:rsidRPr="00346DA7">
        <w:rPr>
          <w:rFonts w:eastAsia="Times New Roman" w:cstheme="minorHAnsi"/>
          <w:sz w:val="24"/>
          <w:szCs w:val="24"/>
        </w:rPr>
        <w:t xml:space="preserve"> </w:t>
      </w:r>
      <w:proofErr w:type="spellStart"/>
      <w:r w:rsidRPr="00346DA7">
        <w:rPr>
          <w:rFonts w:eastAsia="Times New Roman" w:cstheme="minorHAnsi"/>
          <w:sz w:val="24"/>
          <w:szCs w:val="24"/>
        </w:rPr>
        <w:t>Zguid</w:t>
      </w:r>
      <w:proofErr w:type="spellEnd"/>
      <w:r w:rsidRPr="00346DA7">
        <w:rPr>
          <w:sz w:val="24"/>
          <w:szCs w:val="24"/>
        </w:rPr>
        <w:t xml:space="preserve"> Dike in 2019.</w:t>
      </w:r>
    </w:p>
    <w:p w:rsidR="00060E57" w:rsidRPr="00346DA7" w:rsidRDefault="00060E57" w:rsidP="00D843E7">
      <w:pPr>
        <w:pStyle w:val="FootnoteText"/>
        <w:ind w:left="360" w:hanging="360"/>
        <w:rPr>
          <w:sz w:val="24"/>
          <w:szCs w:val="24"/>
        </w:rPr>
      </w:pPr>
    </w:p>
    <w:p w:rsidR="00060E57" w:rsidRPr="00346DA7" w:rsidRDefault="00060E57" w:rsidP="00D843E7">
      <w:pPr>
        <w:pStyle w:val="FootnoteText"/>
        <w:ind w:left="360" w:hanging="360"/>
        <w:rPr>
          <w:sz w:val="24"/>
          <w:szCs w:val="24"/>
        </w:rPr>
      </w:pPr>
      <w:r w:rsidRPr="00346DA7">
        <w:rPr>
          <w:rStyle w:val="FootnoteReference"/>
          <w:sz w:val="24"/>
          <w:szCs w:val="24"/>
        </w:rPr>
        <w:t>2</w:t>
      </w:r>
      <w:r w:rsidRPr="00346DA7">
        <w:rPr>
          <w:sz w:val="24"/>
          <w:szCs w:val="24"/>
          <w:vertAlign w:val="superscript"/>
        </w:rPr>
        <w:t>1</w:t>
      </w:r>
      <w:r w:rsidRPr="00346DA7">
        <w:rPr>
          <w:sz w:val="24"/>
          <w:szCs w:val="24"/>
        </w:rPr>
        <w:t xml:space="preserve"> The specific </w:t>
      </w:r>
      <w:proofErr w:type="spellStart"/>
      <w:r w:rsidRPr="00346DA7">
        <w:rPr>
          <w:rFonts w:eastAsia="Times New Roman" w:cstheme="minorHAnsi"/>
          <w:sz w:val="24"/>
          <w:szCs w:val="24"/>
        </w:rPr>
        <w:t>Foum</w:t>
      </w:r>
      <w:proofErr w:type="spellEnd"/>
      <w:r w:rsidRPr="00346DA7">
        <w:rPr>
          <w:rFonts w:eastAsia="Times New Roman" w:cstheme="minorHAnsi"/>
          <w:sz w:val="24"/>
          <w:szCs w:val="24"/>
        </w:rPr>
        <w:t xml:space="preserve"> </w:t>
      </w:r>
      <w:proofErr w:type="spellStart"/>
      <w:r w:rsidRPr="00346DA7">
        <w:rPr>
          <w:rFonts w:eastAsia="Times New Roman" w:cstheme="minorHAnsi"/>
          <w:sz w:val="24"/>
          <w:szCs w:val="24"/>
        </w:rPr>
        <w:t>Zguid</w:t>
      </w:r>
      <w:proofErr w:type="spellEnd"/>
      <w:r w:rsidRPr="00346DA7">
        <w:rPr>
          <w:sz w:val="24"/>
          <w:szCs w:val="24"/>
        </w:rPr>
        <w:t xml:space="preserve"> Dike rock producing the U-Pb date is too altered to be able to tell what lava group or elemental trend it lies on, according to Andrea </w:t>
      </w:r>
      <w:proofErr w:type="spellStart"/>
      <w:r w:rsidRPr="00346DA7">
        <w:rPr>
          <w:sz w:val="24"/>
          <w:szCs w:val="24"/>
        </w:rPr>
        <w:t>Marzoli</w:t>
      </w:r>
      <w:proofErr w:type="spellEnd"/>
      <w:r w:rsidRPr="00346DA7">
        <w:rPr>
          <w:sz w:val="24"/>
          <w:szCs w:val="24"/>
        </w:rPr>
        <w:t xml:space="preserve"> (pers. comm., 2019).</w:t>
      </w:r>
    </w:p>
    <w:p w:rsidR="00060E57" w:rsidRPr="00346DA7" w:rsidRDefault="00060E57" w:rsidP="00D843E7">
      <w:pPr>
        <w:pStyle w:val="FootnoteText"/>
        <w:ind w:left="360" w:hanging="360"/>
        <w:rPr>
          <w:rFonts w:cs="Times New Roman"/>
          <w:sz w:val="24"/>
          <w:szCs w:val="24"/>
        </w:rPr>
      </w:pPr>
    </w:p>
    <w:p w:rsidR="0079116E" w:rsidRPr="00346DA7" w:rsidRDefault="0079116E" w:rsidP="00D843E7">
      <w:pPr>
        <w:tabs>
          <w:tab w:val="left" w:pos="360"/>
        </w:tabs>
        <w:ind w:left="360" w:hanging="360"/>
        <w:rPr>
          <w:rFonts w:ascii="Times New Roman" w:hAnsi="Times New Roman" w:cs="Times New Roman"/>
        </w:rPr>
      </w:pPr>
      <w:r w:rsidRPr="00346DA7">
        <w:rPr>
          <w:rFonts w:ascii="Times New Roman" w:hAnsi="Times New Roman" w:cs="Times New Roman"/>
          <w:vertAlign w:val="superscript"/>
        </w:rPr>
        <w:t>22</w:t>
      </w:r>
      <w:r w:rsidRPr="00346DA7">
        <w:rPr>
          <w:rFonts w:ascii="Times New Roman" w:hAnsi="Times New Roman" w:cs="Times New Roman"/>
        </w:rPr>
        <w:t xml:space="preserve"> </w:t>
      </w:r>
      <w:r w:rsidRPr="00346DA7">
        <w:rPr>
          <w:rFonts w:ascii="Times New Roman" w:hAnsi="Times New Roman" w:cs="Times New Roman"/>
        </w:rPr>
        <w:t>A visual examination of the graphical representation of the ash distribution by Vickers et al (2020) suggest a periodicity is present. Assuming the following data with the PETM at 55.585 Ma and the top of the section at 55.06 Ma the age-depth relationship is as follows (using linear regression with y = -(0.01285*x) + 55.86142):</w:t>
      </w:r>
    </w:p>
    <w:p w:rsidR="0079116E" w:rsidRPr="00346DA7" w:rsidRDefault="0079116E" w:rsidP="00D843E7">
      <w:pPr>
        <w:tabs>
          <w:tab w:val="left" w:pos="360"/>
        </w:tabs>
        <w:ind w:left="360" w:hanging="360"/>
        <w:jc w:val="center"/>
        <w:rPr>
          <w:rFonts w:ascii="Times New Roman" w:hAnsi="Times New Roman" w:cs="Times New Roman"/>
        </w:rPr>
      </w:pPr>
    </w:p>
    <w:tbl>
      <w:tblPr>
        <w:tblW w:w="4775" w:type="dxa"/>
        <w:jc w:val="center"/>
        <w:tblLook w:val="04A0" w:firstRow="1" w:lastRow="0" w:firstColumn="1" w:lastColumn="0" w:noHBand="0" w:noVBand="1"/>
      </w:tblPr>
      <w:tblGrid>
        <w:gridCol w:w="1338"/>
        <w:gridCol w:w="2099"/>
        <w:gridCol w:w="1338"/>
      </w:tblGrid>
      <w:tr w:rsidR="0079116E" w:rsidRPr="00346DA7" w:rsidTr="00161AB3">
        <w:trPr>
          <w:trHeight w:val="257"/>
          <w:jc w:val="center"/>
        </w:trPr>
        <w:tc>
          <w:tcPr>
            <w:tcW w:w="1338"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Depth</w:t>
            </w:r>
          </w:p>
        </w:tc>
        <w:tc>
          <w:tcPr>
            <w:tcW w:w="2099"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Age Tie Points (Ma)</w:t>
            </w:r>
          </w:p>
        </w:tc>
        <w:tc>
          <w:tcPr>
            <w:tcW w:w="1338"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Model Ages</w:t>
            </w:r>
          </w:p>
        </w:tc>
      </w:tr>
      <w:tr w:rsidR="0079116E" w:rsidRPr="00346DA7" w:rsidTr="00161AB3">
        <w:trPr>
          <w:trHeight w:val="257"/>
          <w:jc w:val="center"/>
        </w:trPr>
        <w:tc>
          <w:tcPr>
            <w:tcW w:w="1338"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62</w:t>
            </w:r>
          </w:p>
        </w:tc>
        <w:tc>
          <w:tcPr>
            <w:tcW w:w="2099"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p>
        </w:tc>
        <w:tc>
          <w:tcPr>
            <w:tcW w:w="1338"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55.06</w:t>
            </w:r>
          </w:p>
        </w:tc>
      </w:tr>
      <w:tr w:rsidR="0079116E" w:rsidRPr="00346DA7" w:rsidTr="00161AB3">
        <w:trPr>
          <w:trHeight w:val="257"/>
          <w:jc w:val="center"/>
        </w:trPr>
        <w:tc>
          <w:tcPr>
            <w:tcW w:w="1338"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50.2</w:t>
            </w:r>
          </w:p>
        </w:tc>
        <w:tc>
          <w:tcPr>
            <w:tcW w:w="2099"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55.2</w:t>
            </w:r>
          </w:p>
        </w:tc>
        <w:tc>
          <w:tcPr>
            <w:tcW w:w="1338"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55.22</w:t>
            </w:r>
          </w:p>
        </w:tc>
      </w:tr>
      <w:tr w:rsidR="0079116E" w:rsidRPr="00346DA7" w:rsidTr="00161AB3">
        <w:trPr>
          <w:trHeight w:val="257"/>
          <w:jc w:val="center"/>
        </w:trPr>
        <w:tc>
          <w:tcPr>
            <w:tcW w:w="1338"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38.5</w:t>
            </w:r>
          </w:p>
        </w:tc>
        <w:tc>
          <w:tcPr>
            <w:tcW w:w="2099"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55.4</w:t>
            </w:r>
          </w:p>
        </w:tc>
        <w:tc>
          <w:tcPr>
            <w:tcW w:w="1338"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55.37</w:t>
            </w:r>
          </w:p>
        </w:tc>
      </w:tr>
      <w:tr w:rsidR="0079116E" w:rsidRPr="00346DA7" w:rsidTr="00161AB3">
        <w:trPr>
          <w:trHeight w:val="257"/>
          <w:jc w:val="center"/>
        </w:trPr>
        <w:tc>
          <w:tcPr>
            <w:tcW w:w="1338"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18</w:t>
            </w:r>
          </w:p>
        </w:tc>
        <w:tc>
          <w:tcPr>
            <w:tcW w:w="2099"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55.6</w:t>
            </w:r>
          </w:p>
        </w:tc>
        <w:tc>
          <w:tcPr>
            <w:tcW w:w="1338"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55.63</w:t>
            </w:r>
          </w:p>
        </w:tc>
      </w:tr>
      <w:tr w:rsidR="0079116E" w:rsidRPr="00346DA7" w:rsidTr="00161AB3">
        <w:trPr>
          <w:trHeight w:val="257"/>
          <w:jc w:val="center"/>
        </w:trPr>
        <w:tc>
          <w:tcPr>
            <w:tcW w:w="1338"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7</w:t>
            </w:r>
          </w:p>
        </w:tc>
        <w:tc>
          <w:tcPr>
            <w:tcW w:w="2099"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55.785</w:t>
            </w:r>
          </w:p>
        </w:tc>
        <w:tc>
          <w:tcPr>
            <w:tcW w:w="1338" w:type="dxa"/>
            <w:tcBorders>
              <w:top w:val="nil"/>
              <w:left w:val="nil"/>
              <w:bottom w:val="nil"/>
              <w:right w:val="nil"/>
            </w:tcBorders>
            <w:shd w:val="clear" w:color="auto" w:fill="auto"/>
            <w:noWrap/>
            <w:vAlign w:val="bottom"/>
            <w:hideMark/>
          </w:tcPr>
          <w:p w:rsidR="0079116E" w:rsidRPr="00346DA7" w:rsidRDefault="0079116E" w:rsidP="00D843E7">
            <w:pPr>
              <w:tabs>
                <w:tab w:val="left" w:pos="360"/>
              </w:tabs>
              <w:ind w:left="360" w:hanging="360"/>
              <w:jc w:val="center"/>
              <w:rPr>
                <w:rFonts w:ascii="Times New Roman" w:hAnsi="Times New Roman" w:cs="Times New Roman"/>
                <w:color w:val="000000"/>
              </w:rPr>
            </w:pPr>
            <w:r w:rsidRPr="00346DA7">
              <w:rPr>
                <w:rFonts w:ascii="Times New Roman" w:hAnsi="Times New Roman" w:cs="Times New Roman"/>
                <w:color w:val="000000"/>
              </w:rPr>
              <w:t>55.77</w:t>
            </w:r>
          </w:p>
        </w:tc>
      </w:tr>
    </w:tbl>
    <w:p w:rsidR="0079116E" w:rsidRPr="00346DA7" w:rsidRDefault="0079116E" w:rsidP="00D843E7">
      <w:pPr>
        <w:tabs>
          <w:tab w:val="left" w:pos="360"/>
        </w:tabs>
        <w:ind w:left="360" w:hanging="360"/>
        <w:jc w:val="center"/>
        <w:rPr>
          <w:rFonts w:ascii="Times New Roman" w:hAnsi="Times New Roman" w:cs="Times New Roman"/>
        </w:rPr>
      </w:pPr>
    </w:p>
    <w:p w:rsidR="0079116E" w:rsidRPr="00346DA7" w:rsidRDefault="0079116E" w:rsidP="00D843E7">
      <w:pPr>
        <w:pStyle w:val="FootnoteText"/>
        <w:ind w:left="360" w:hanging="360"/>
        <w:rPr>
          <w:rFonts w:cs="Times New Roman"/>
          <w:sz w:val="24"/>
          <w:szCs w:val="24"/>
        </w:rPr>
      </w:pPr>
      <w:r w:rsidRPr="00346DA7">
        <w:rPr>
          <w:rFonts w:cs="Times New Roman"/>
          <w:sz w:val="24"/>
          <w:szCs w:val="24"/>
        </w:rPr>
        <w:lastRenderedPageBreak/>
        <w:tab/>
      </w:r>
      <w:r w:rsidRPr="00346DA7">
        <w:rPr>
          <w:rFonts w:cs="Times New Roman"/>
          <w:sz w:val="24"/>
          <w:szCs w:val="24"/>
        </w:rPr>
        <w:t xml:space="preserve">This results in a duration of 710 kyr for the interval. Making the image of the interval of interest 710 pixels long and digitizing the gray-scale image in ImageJ 2.0.0 and then performing MTM 2π spectral analysis in </w:t>
      </w:r>
      <w:proofErr w:type="spellStart"/>
      <w:r w:rsidRPr="00346DA7">
        <w:rPr>
          <w:rFonts w:cs="Times New Roman"/>
          <w:sz w:val="24"/>
          <w:szCs w:val="24"/>
        </w:rPr>
        <w:t>Acycle</w:t>
      </w:r>
      <w:proofErr w:type="spellEnd"/>
      <w:r w:rsidRPr="00346DA7">
        <w:rPr>
          <w:rFonts w:cs="Times New Roman"/>
          <w:sz w:val="24"/>
          <w:szCs w:val="24"/>
        </w:rPr>
        <w:t xml:space="preserve"> 2.8.0 prominent and significant (f-test) periods occur at 20 kyr, 24 kyr, 84 kyr, 122 kyr, 196 kyr and 588 kyr, the latter two periods being uncertain because of the length of the section, although their average is 392 kyr. Considering the crudeness of this approach, the correspondence between the first 4 periods and the expected periods of 19 kyr, 22 kyr, 94 kyr, 132 kyr and </w:t>
      </w:r>
      <w:r w:rsidR="002B08AE" w:rsidRPr="00346DA7">
        <w:rPr>
          <w:rFonts w:cs="Times New Roman"/>
          <w:sz w:val="24"/>
          <w:szCs w:val="24"/>
        </w:rPr>
        <w:t xml:space="preserve">a hint of </w:t>
      </w:r>
      <w:r w:rsidRPr="00346DA7">
        <w:rPr>
          <w:rFonts w:cs="Times New Roman"/>
          <w:sz w:val="24"/>
          <w:szCs w:val="24"/>
        </w:rPr>
        <w:t>400 kyr (La2010d for this same interval) is fairly striking.</w:t>
      </w:r>
    </w:p>
    <w:p w:rsidR="0079116E" w:rsidRPr="00346DA7" w:rsidRDefault="0079116E" w:rsidP="00D843E7">
      <w:pPr>
        <w:pStyle w:val="FootnoteText"/>
        <w:ind w:left="360" w:hanging="360"/>
        <w:rPr>
          <w:rFonts w:cs="Times New Roman"/>
          <w:sz w:val="24"/>
          <w:szCs w:val="24"/>
        </w:rPr>
      </w:pPr>
    </w:p>
    <w:p w:rsidR="0079116E" w:rsidRPr="00346DA7" w:rsidRDefault="0079116E" w:rsidP="00D843E7">
      <w:pPr>
        <w:pStyle w:val="FootnoteText"/>
        <w:ind w:left="360" w:hanging="360"/>
        <w:rPr>
          <w:rFonts w:cs="Times New Roman"/>
          <w:sz w:val="24"/>
          <w:szCs w:val="24"/>
        </w:rPr>
      </w:pPr>
      <w:r w:rsidRPr="00346DA7">
        <w:rPr>
          <w:rStyle w:val="FootnoteReference"/>
          <w:rFonts w:cs="Times New Roman"/>
          <w:sz w:val="24"/>
          <w:szCs w:val="24"/>
        </w:rPr>
        <w:t>2</w:t>
      </w:r>
      <w:r w:rsidRPr="00346DA7">
        <w:rPr>
          <w:rFonts w:cs="Times New Roman"/>
          <w:sz w:val="24"/>
          <w:szCs w:val="24"/>
          <w:vertAlign w:val="superscript"/>
        </w:rPr>
        <w:t>3</w:t>
      </w:r>
      <w:r w:rsidRPr="00346DA7">
        <w:rPr>
          <w:rFonts w:cs="Times New Roman"/>
          <w:sz w:val="24"/>
          <w:szCs w:val="24"/>
        </w:rPr>
        <w:t xml:space="preserve"> </w:t>
      </w:r>
      <w:r w:rsidRPr="00346DA7">
        <w:rPr>
          <w:rFonts w:cs="Times New Roman"/>
          <w:sz w:val="24"/>
          <w:szCs w:val="24"/>
        </w:rPr>
        <w:t xml:space="preserve">Based on the sedimentary </w:t>
      </w:r>
      <w:proofErr w:type="gramStart"/>
      <w:r w:rsidRPr="00346DA7">
        <w:rPr>
          <w:rFonts w:cs="Times New Roman"/>
          <w:sz w:val="24"/>
          <w:szCs w:val="24"/>
        </w:rPr>
        <w:t>facies</w:t>
      </w:r>
      <w:proofErr w:type="gramEnd"/>
      <w:r w:rsidRPr="00346DA7">
        <w:rPr>
          <w:rFonts w:cs="Times New Roman"/>
          <w:sz w:val="24"/>
          <w:szCs w:val="24"/>
        </w:rPr>
        <w:t xml:space="preserve"> classification of relative water depths termed depth ranks (Olsen and Kent, 1996) applied to the composite Towaco-East Berlin section in Olsen et al. (2019), about 0.78% (~1%) of the entire East Formation is microlaminated (depth rank &gt;4) and 7.95% (~8%) is thin bedded perennial lake facies (depth rank ≥3). The frequency of ashes recorded in the Fur Formation is about 0.25 ash/kyr (172 ashes in 700 kyr). The duration of the East Berlin is 358 kyr based on U-Pb dates and therefore we would expect about 88 ashes total to be counted in the formation. Scaled to the proportion of the East Berlin that is microlaminated and hence the same facies as most of the Fur Formation we would expect about 0.68 of an ash (~1 ash) in the East Berlin Formation (0.0078 * 358 = 0.6843). If we take a more liberal view of ash preservation and assume the ashes would be visually recognizable in any perennial lake facies (depth rank ≥3), than we would expect 7.00 ashes in the East Berlin Formation (0.7955 * 358 = 7.0005).</w:t>
      </w:r>
    </w:p>
    <w:p w:rsidR="0079116E" w:rsidRPr="00346DA7" w:rsidRDefault="0079116E" w:rsidP="00D843E7">
      <w:pPr>
        <w:pStyle w:val="FootnoteText"/>
        <w:ind w:left="360" w:hanging="360"/>
        <w:rPr>
          <w:rFonts w:cs="Times New Roman"/>
          <w:sz w:val="24"/>
          <w:szCs w:val="24"/>
        </w:rPr>
      </w:pPr>
    </w:p>
    <w:p w:rsidR="0079116E" w:rsidRPr="00346DA7" w:rsidRDefault="0079116E" w:rsidP="00D843E7">
      <w:pPr>
        <w:pStyle w:val="FootnoteText"/>
        <w:ind w:left="360" w:hanging="360"/>
        <w:rPr>
          <w:rFonts w:cs="Times New Roman"/>
          <w:sz w:val="24"/>
          <w:szCs w:val="24"/>
        </w:rPr>
      </w:pPr>
      <w:r w:rsidRPr="00346DA7">
        <w:rPr>
          <w:rStyle w:val="FootnoteReference"/>
          <w:rFonts w:cs="Times New Roman"/>
          <w:sz w:val="24"/>
          <w:szCs w:val="24"/>
        </w:rPr>
        <w:t>2</w:t>
      </w:r>
      <w:r w:rsidRPr="00346DA7">
        <w:rPr>
          <w:rFonts w:cs="Times New Roman"/>
          <w:sz w:val="24"/>
          <w:szCs w:val="24"/>
          <w:vertAlign w:val="superscript"/>
        </w:rPr>
        <w:t>4</w:t>
      </w:r>
      <w:r w:rsidRPr="00346DA7">
        <w:rPr>
          <w:rFonts w:cs="Times New Roman"/>
          <w:sz w:val="24"/>
          <w:szCs w:val="24"/>
        </w:rPr>
        <w:t>The best exposure (42.106379°, -72.681084°) in the Springfield South quadrangle, the map of which mentions the two flows (Chapman and Hartshorn, 1966) shows only one flow with two vesicle rich horizons, but no chill margins or reddened surfaces. One of these is more than 3 m thick and in places cross-cuts regional bedding orientation. There is also no topographic groove along the ridge, as one would expect if there were two flows.</w:t>
      </w:r>
    </w:p>
    <w:p w:rsidR="0079116E" w:rsidRPr="00346DA7" w:rsidRDefault="0079116E" w:rsidP="00D843E7">
      <w:pPr>
        <w:pStyle w:val="FootnoteText"/>
        <w:ind w:left="360" w:hanging="360"/>
        <w:rPr>
          <w:rFonts w:cs="Times New Roman"/>
          <w:sz w:val="24"/>
          <w:szCs w:val="24"/>
        </w:rPr>
      </w:pPr>
    </w:p>
    <w:p w:rsidR="0079116E" w:rsidRPr="00346DA7" w:rsidRDefault="0079116E" w:rsidP="00D843E7">
      <w:pPr>
        <w:pStyle w:val="FootnoteText"/>
        <w:ind w:left="360" w:hanging="360"/>
        <w:rPr>
          <w:rFonts w:cs="Times New Roman"/>
          <w:sz w:val="24"/>
          <w:szCs w:val="24"/>
        </w:rPr>
      </w:pPr>
      <w:r w:rsidRPr="00346DA7">
        <w:rPr>
          <w:rStyle w:val="FootnoteReference"/>
          <w:rFonts w:cs="Times New Roman"/>
          <w:sz w:val="24"/>
          <w:szCs w:val="24"/>
        </w:rPr>
        <w:t>2</w:t>
      </w:r>
      <w:r w:rsidRPr="00346DA7">
        <w:rPr>
          <w:rFonts w:cs="Times New Roman"/>
          <w:sz w:val="24"/>
          <w:szCs w:val="24"/>
          <w:vertAlign w:val="superscript"/>
        </w:rPr>
        <w:t>5</w:t>
      </w:r>
      <w:r w:rsidRPr="00346DA7">
        <w:rPr>
          <w:rFonts w:cs="Times New Roman"/>
          <w:sz w:val="24"/>
          <w:szCs w:val="24"/>
        </w:rPr>
        <w:tab/>
      </w:r>
      <w:r w:rsidRPr="00346DA7">
        <w:rPr>
          <w:rFonts w:cs="Times New Roman"/>
          <w:sz w:val="24"/>
          <w:szCs w:val="24"/>
        </w:rPr>
        <w:t>Named by Emerson (1898b Holyoke Folio) who was also the first to correctly identify the feeder relationships between the Black Rock Diabase also named by Emerson (1898b), Granby Tuff and Hampden Basalt flow (Emerson, 1898a Old Hampshire).</w:t>
      </w:r>
    </w:p>
    <w:p w:rsidR="0079116E" w:rsidRPr="00346DA7" w:rsidRDefault="0079116E" w:rsidP="00D843E7">
      <w:pPr>
        <w:pStyle w:val="FootnoteText"/>
        <w:ind w:left="360" w:hanging="360"/>
        <w:rPr>
          <w:rFonts w:cs="Times New Roman"/>
          <w:sz w:val="24"/>
          <w:szCs w:val="24"/>
        </w:rPr>
      </w:pPr>
    </w:p>
    <w:p w:rsidR="00122F5F" w:rsidRPr="00346DA7" w:rsidRDefault="0079116E" w:rsidP="00D843E7">
      <w:pPr>
        <w:pStyle w:val="FootnoteText"/>
        <w:ind w:left="360" w:hanging="360"/>
        <w:rPr>
          <w:rFonts w:cs="Times New Roman"/>
          <w:sz w:val="24"/>
          <w:szCs w:val="24"/>
        </w:rPr>
      </w:pPr>
      <w:r w:rsidRPr="00346DA7">
        <w:rPr>
          <w:rStyle w:val="FootnoteReference"/>
          <w:rFonts w:cs="Times New Roman"/>
          <w:sz w:val="24"/>
          <w:szCs w:val="24"/>
        </w:rPr>
        <w:t>2</w:t>
      </w:r>
      <w:r w:rsidRPr="00346DA7">
        <w:rPr>
          <w:rFonts w:cs="Times New Roman"/>
          <w:sz w:val="24"/>
          <w:szCs w:val="24"/>
          <w:vertAlign w:val="superscript"/>
        </w:rPr>
        <w:t>6</w:t>
      </w:r>
      <w:r w:rsidRPr="00346DA7">
        <w:rPr>
          <w:rFonts w:cs="Times New Roman"/>
          <w:sz w:val="24"/>
          <w:szCs w:val="24"/>
        </w:rPr>
        <w:tab/>
      </w:r>
      <w:r w:rsidRPr="00346DA7">
        <w:rPr>
          <w:rFonts w:cs="Times New Roman"/>
          <w:sz w:val="24"/>
          <w:szCs w:val="24"/>
        </w:rPr>
        <w:t>An exception being analyses of vesicles in basalt within the Granby Tuff by April and Keller (1992)</w:t>
      </w:r>
      <w:r w:rsidR="00122F5F" w:rsidRPr="00346DA7">
        <w:rPr>
          <w:rFonts w:cs="Times New Roman"/>
          <w:sz w:val="24"/>
          <w:szCs w:val="24"/>
        </w:rPr>
        <w:t>.</w:t>
      </w:r>
    </w:p>
    <w:p w:rsidR="00122F5F" w:rsidRPr="00346DA7" w:rsidRDefault="00122F5F" w:rsidP="00D843E7">
      <w:pPr>
        <w:pStyle w:val="FootnoteText"/>
        <w:ind w:left="360" w:hanging="360"/>
        <w:rPr>
          <w:rFonts w:cs="Times New Roman"/>
          <w:sz w:val="24"/>
          <w:szCs w:val="24"/>
        </w:rPr>
      </w:pPr>
    </w:p>
    <w:p w:rsidR="00122F5F" w:rsidRPr="00346DA7" w:rsidRDefault="006C6259" w:rsidP="00D843E7">
      <w:pPr>
        <w:pStyle w:val="FootnoteText"/>
        <w:ind w:left="360" w:hanging="360"/>
        <w:rPr>
          <w:rFonts w:cs="Times New Roman"/>
          <w:sz w:val="24"/>
          <w:szCs w:val="24"/>
        </w:rPr>
      </w:pPr>
      <w:r w:rsidRPr="00346DA7">
        <w:rPr>
          <w:rStyle w:val="FootnoteReference"/>
          <w:sz w:val="24"/>
          <w:szCs w:val="24"/>
        </w:rPr>
        <w:t>2</w:t>
      </w:r>
      <w:r w:rsidRPr="00346DA7">
        <w:rPr>
          <w:sz w:val="24"/>
          <w:szCs w:val="24"/>
          <w:vertAlign w:val="superscript"/>
        </w:rPr>
        <w:t>7</w:t>
      </w:r>
      <w:r w:rsidR="00D843E7" w:rsidRPr="00346DA7">
        <w:rPr>
          <w:sz w:val="24"/>
          <w:szCs w:val="24"/>
        </w:rPr>
        <w:tab/>
      </w:r>
      <w:r w:rsidRPr="00346DA7">
        <w:rPr>
          <w:sz w:val="24"/>
          <w:szCs w:val="24"/>
        </w:rPr>
        <w:t>These Neptunian dikes have been repeatedly conflated with “</w:t>
      </w:r>
      <w:r w:rsidRPr="00346DA7">
        <w:rPr>
          <w:sz w:val="24"/>
          <w:szCs w:val="24"/>
        </w:rPr>
        <w:t>injections</w:t>
      </w:r>
      <w:r w:rsidRPr="00346DA7">
        <w:rPr>
          <w:sz w:val="24"/>
          <w:szCs w:val="24"/>
        </w:rPr>
        <w:t>” and “</w:t>
      </w:r>
      <w:proofErr w:type="spellStart"/>
      <w:r w:rsidRPr="00346DA7">
        <w:rPr>
          <w:sz w:val="24"/>
          <w:szCs w:val="24"/>
        </w:rPr>
        <w:t>pepperites</w:t>
      </w:r>
      <w:proofErr w:type="spellEnd"/>
      <w:r w:rsidRPr="00346DA7">
        <w:rPr>
          <w:sz w:val="24"/>
          <w:szCs w:val="24"/>
        </w:rPr>
        <w:t xml:space="preserve">” which form from phreatomagmatic reactions at flow bases or hot flow tops, but which </w:t>
      </w:r>
      <w:r w:rsidRPr="00346DA7">
        <w:rPr>
          <w:sz w:val="24"/>
          <w:szCs w:val="24"/>
        </w:rPr>
        <w:t xml:space="preserve">in most case in the CAMP lavas they cannot be </w:t>
      </w:r>
      <w:r w:rsidRPr="00346DA7">
        <w:rPr>
          <w:sz w:val="24"/>
          <w:szCs w:val="24"/>
        </w:rPr>
        <w:t>because of clear internal stratification with downward wall rock clast movement (Olsen et al. 2012, 2023).</w:t>
      </w:r>
    </w:p>
    <w:p w:rsidR="00122F5F" w:rsidRPr="00346DA7" w:rsidRDefault="00122F5F" w:rsidP="00D843E7">
      <w:pPr>
        <w:pStyle w:val="FootnoteText"/>
        <w:ind w:left="360" w:hanging="360"/>
        <w:rPr>
          <w:rFonts w:cs="Times New Roman"/>
          <w:sz w:val="24"/>
          <w:szCs w:val="24"/>
        </w:rPr>
      </w:pPr>
    </w:p>
    <w:p w:rsidR="00122F5F" w:rsidRPr="00346DA7" w:rsidRDefault="006C6259" w:rsidP="00D843E7">
      <w:pPr>
        <w:pStyle w:val="FootnoteText"/>
        <w:ind w:left="360" w:hanging="360"/>
        <w:rPr>
          <w:rFonts w:cs="Times New Roman"/>
          <w:sz w:val="24"/>
          <w:szCs w:val="24"/>
        </w:rPr>
      </w:pPr>
      <w:r w:rsidRPr="00346DA7">
        <w:rPr>
          <w:rStyle w:val="FootnoteReference"/>
          <w:sz w:val="24"/>
          <w:szCs w:val="24"/>
        </w:rPr>
        <w:t>2</w:t>
      </w:r>
      <w:r w:rsidRPr="00346DA7">
        <w:rPr>
          <w:sz w:val="24"/>
          <w:szCs w:val="24"/>
          <w:vertAlign w:val="superscript"/>
        </w:rPr>
        <w:t>8</w:t>
      </w:r>
      <w:r w:rsidR="00D843E7" w:rsidRPr="00346DA7">
        <w:rPr>
          <w:sz w:val="24"/>
          <w:szCs w:val="24"/>
        </w:rPr>
        <w:tab/>
      </w:r>
      <w:r w:rsidRPr="00346DA7">
        <w:rPr>
          <w:sz w:val="24"/>
          <w:szCs w:val="24"/>
        </w:rPr>
        <w:t xml:space="preserve">Note that the original authors </w:t>
      </w:r>
      <w:r w:rsidR="0067271A" w:rsidRPr="00346DA7">
        <w:fldChar w:fldCharType="begin"/>
      </w:r>
      <w:r w:rsidR="0067271A" w:rsidRPr="00346DA7">
        <w:instrText xml:space="preserve"> ADDIN EN.CITE &lt;EndNote&gt;&lt;Cite&gt;&lt;Author&gt;Kontak&lt;/Author&gt;&lt;Year&gt;2008&lt;/Year&gt;&lt;RecNum&gt;3991&lt;/RecNum&gt;&lt;DisplayText&gt;(1)&lt;/DisplayText&gt;&lt;record&gt;&lt;rec-number&gt;3991&lt;/rec-number&gt;&lt;foreign-keys&gt;&lt;key app="EN" db-id="9r2p5xxv20extjesawyvsd2ltsxzzddfdsxp" timestamp="1704726762" guid="607d793e-2cb2-4827-acb5-5a6677318b94"&gt;3991&lt;/key&gt;&lt;/foreign-keys&gt;&lt;ref-type name="Journal Article"&gt;17&lt;/ref-type&gt;&lt;contributors&gt;&lt;authors&gt;&lt;author&gt;Kontak, Daniel J&lt;/author&gt;&lt;/authors&gt;&lt;/contributors&gt;&lt;titles&gt;&lt;title&gt;On the edge of CAMP: geology and volcanology of the Jurassic North Mountain Basalt, Nova Scotia&lt;/title&gt;&lt;secondary-title&gt;Lithos&lt;/secondary-title&gt;&lt;/titles&gt;&lt;periodical&gt;&lt;full-title&gt;Lithos&lt;/full-title&gt;&lt;/periodical&gt;&lt;pages&gt;74-101&lt;/pages&gt;&lt;volume&gt;101&lt;/volume&gt;&lt;number&gt;1-2&lt;/number&gt;&lt;dates&gt;&lt;year&gt;2008&lt;/year&gt;&lt;/dates&gt;&lt;isbn&gt;0024-4937&lt;/isbn&gt;&lt;urls&gt;&lt;/urls&gt;&lt;/record&gt;&lt;/Cite&gt;&lt;/EndNote&gt;</w:instrText>
      </w:r>
      <w:r w:rsidR="0067271A" w:rsidRPr="00346DA7">
        <w:fldChar w:fldCharType="separate"/>
      </w:r>
      <w:r w:rsidR="0067271A" w:rsidRPr="00346DA7">
        <w:rPr>
          <w:noProof/>
        </w:rPr>
        <w:t>(1)</w:t>
      </w:r>
      <w:r w:rsidR="0067271A" w:rsidRPr="00346DA7">
        <w:fldChar w:fldCharType="end"/>
      </w:r>
      <w:r w:rsidR="0067271A" w:rsidRPr="00346DA7">
        <w:t xml:space="preserve"> </w:t>
      </w:r>
      <w:r w:rsidRPr="00346DA7">
        <w:rPr>
          <w:sz w:val="24"/>
          <w:szCs w:val="24"/>
        </w:rPr>
        <w:t>term these cooling units flows.</w:t>
      </w:r>
    </w:p>
    <w:p w:rsidR="00122F5F" w:rsidRPr="00346DA7" w:rsidRDefault="00122F5F" w:rsidP="00D843E7">
      <w:pPr>
        <w:pStyle w:val="FootnoteText"/>
        <w:ind w:left="360" w:hanging="360"/>
        <w:rPr>
          <w:rFonts w:cs="Times New Roman"/>
          <w:sz w:val="24"/>
          <w:szCs w:val="24"/>
        </w:rPr>
      </w:pPr>
    </w:p>
    <w:p w:rsidR="00F66700" w:rsidRPr="00346DA7" w:rsidRDefault="00122F5F" w:rsidP="00F66700">
      <w:pPr>
        <w:pStyle w:val="FootnoteText"/>
        <w:ind w:left="360" w:hanging="360"/>
        <w:rPr>
          <w:sz w:val="24"/>
          <w:szCs w:val="24"/>
        </w:rPr>
      </w:pPr>
      <w:r w:rsidRPr="00346DA7">
        <w:rPr>
          <w:rStyle w:val="FootnoteReference"/>
          <w:sz w:val="24"/>
          <w:szCs w:val="24"/>
        </w:rPr>
        <w:t>2</w:t>
      </w:r>
      <w:r w:rsidRPr="00346DA7">
        <w:rPr>
          <w:sz w:val="24"/>
          <w:szCs w:val="24"/>
          <w:vertAlign w:val="superscript"/>
        </w:rPr>
        <w:t>9</w:t>
      </w:r>
      <w:r w:rsidR="00D843E7" w:rsidRPr="00346DA7">
        <w:rPr>
          <w:sz w:val="24"/>
          <w:szCs w:val="24"/>
          <w:vertAlign w:val="superscript"/>
        </w:rPr>
        <w:tab/>
      </w:r>
      <w:r w:rsidRPr="00346DA7">
        <w:rPr>
          <w:sz w:val="24"/>
          <w:szCs w:val="24"/>
        </w:rPr>
        <w:t xml:space="preserve">This includes not only chemistries similar to the typical HFQ basalts of the lower Holyoke and Preakness, but also LTQ and even olive-normative types, the latter based on the Opal no. 1 core (Gottfried et al. 1991). Examination of the Opal no. 1 core reveals that at least some of these purported cooling units or flows are separated by post emplacement infiltrations, while </w:t>
      </w:r>
      <w:r w:rsidRPr="00346DA7">
        <w:rPr>
          <w:sz w:val="24"/>
          <w:szCs w:val="24"/>
        </w:rPr>
        <w:lastRenderedPageBreak/>
        <w:t>others appear separated by significant sediment beds and are most simply interpreted as separate flows.</w:t>
      </w:r>
    </w:p>
    <w:p w:rsidR="00F66700" w:rsidRPr="00346DA7" w:rsidRDefault="00F66700" w:rsidP="00F66700">
      <w:pPr>
        <w:pStyle w:val="FootnoteText"/>
        <w:ind w:left="360" w:hanging="360"/>
        <w:rPr>
          <w:sz w:val="24"/>
          <w:szCs w:val="24"/>
        </w:rPr>
      </w:pPr>
    </w:p>
    <w:p w:rsidR="00F66700" w:rsidRPr="00346DA7" w:rsidRDefault="00F66700" w:rsidP="00F66700">
      <w:pPr>
        <w:pStyle w:val="FootnoteText"/>
        <w:ind w:left="360" w:hanging="360"/>
        <w:rPr>
          <w:sz w:val="24"/>
          <w:szCs w:val="24"/>
        </w:rPr>
      </w:pPr>
      <w:r w:rsidRPr="00346DA7">
        <w:rPr>
          <w:rStyle w:val="FootnoteReference"/>
          <w:sz w:val="24"/>
          <w:szCs w:val="24"/>
        </w:rPr>
        <w:t>3</w:t>
      </w:r>
      <w:r w:rsidRPr="00346DA7">
        <w:rPr>
          <w:sz w:val="24"/>
          <w:szCs w:val="24"/>
          <w:vertAlign w:val="superscript"/>
        </w:rPr>
        <w:t>0</w:t>
      </w:r>
      <w:r w:rsidRPr="00346DA7">
        <w:rPr>
          <w:sz w:val="24"/>
          <w:szCs w:val="24"/>
        </w:rPr>
        <w:tab/>
      </w:r>
      <w:r w:rsidRPr="00346DA7">
        <w:rPr>
          <w:sz w:val="24"/>
          <w:szCs w:val="24"/>
        </w:rPr>
        <w:t xml:space="preserve">The giant </w:t>
      </w:r>
      <w:proofErr w:type="spellStart"/>
      <w:r w:rsidRPr="00346DA7">
        <w:rPr>
          <w:sz w:val="24"/>
          <w:szCs w:val="24"/>
        </w:rPr>
        <w:t>Messejana</w:t>
      </w:r>
      <w:proofErr w:type="spellEnd"/>
      <w:r w:rsidRPr="00346DA7">
        <w:rPr>
          <w:sz w:val="24"/>
          <w:szCs w:val="24"/>
        </w:rPr>
        <w:t xml:space="preserve"> dike of Iberia has some sites reverse polarity (Palencia-</w:t>
      </w:r>
      <w:proofErr w:type="spellStart"/>
      <w:r w:rsidRPr="00346DA7">
        <w:rPr>
          <w:sz w:val="24"/>
          <w:szCs w:val="24"/>
        </w:rPr>
        <w:t>Ortas</w:t>
      </w:r>
      <w:proofErr w:type="spellEnd"/>
      <w:r w:rsidRPr="00346DA7">
        <w:rPr>
          <w:sz w:val="24"/>
          <w:szCs w:val="24"/>
        </w:rPr>
        <w:t xml:space="preserve"> et al., 2011) most simply interpreted as representing </w:t>
      </w:r>
      <w:proofErr w:type="spellStart"/>
      <w:r w:rsidRPr="00346DA7">
        <w:rPr>
          <w:sz w:val="24"/>
          <w:szCs w:val="24"/>
        </w:rPr>
        <w:t>chron</w:t>
      </w:r>
      <w:proofErr w:type="spellEnd"/>
      <w:r w:rsidRPr="00346DA7">
        <w:rPr>
          <w:sz w:val="24"/>
          <w:szCs w:val="24"/>
        </w:rPr>
        <w:t xml:space="preserve"> E29r the only reverse polarity </w:t>
      </w:r>
      <w:proofErr w:type="spellStart"/>
      <w:r w:rsidRPr="00346DA7">
        <w:rPr>
          <w:sz w:val="24"/>
          <w:szCs w:val="24"/>
        </w:rPr>
        <w:t>ingterval</w:t>
      </w:r>
      <w:proofErr w:type="spellEnd"/>
      <w:r w:rsidRPr="00346DA7">
        <w:rPr>
          <w:sz w:val="24"/>
          <w:szCs w:val="24"/>
        </w:rPr>
        <w:t xml:space="preserve"> known within about a million years of the ETE (Kent et al., 2024). It thus most predate the continental ETE by about roughly ~40 kyr.</w:t>
      </w:r>
    </w:p>
    <w:p w:rsidR="00F66700" w:rsidRPr="00346DA7" w:rsidRDefault="00F66700" w:rsidP="00F66700">
      <w:pPr>
        <w:pStyle w:val="FootnoteText"/>
        <w:ind w:left="360" w:hanging="360"/>
        <w:rPr>
          <w:sz w:val="24"/>
          <w:szCs w:val="24"/>
        </w:rPr>
      </w:pPr>
    </w:p>
    <w:p w:rsidR="00F66700" w:rsidRPr="00346DA7" w:rsidRDefault="00F66700" w:rsidP="00F66700">
      <w:pPr>
        <w:pStyle w:val="FootnoteText"/>
        <w:ind w:left="360" w:hanging="360"/>
        <w:rPr>
          <w:sz w:val="24"/>
          <w:szCs w:val="24"/>
        </w:rPr>
      </w:pPr>
      <w:r w:rsidRPr="00346DA7">
        <w:rPr>
          <w:rStyle w:val="FootnoteReference"/>
          <w:sz w:val="24"/>
          <w:szCs w:val="24"/>
        </w:rPr>
        <w:t>3</w:t>
      </w:r>
      <w:r w:rsidRPr="00346DA7">
        <w:rPr>
          <w:sz w:val="24"/>
          <w:szCs w:val="24"/>
          <w:vertAlign w:val="superscript"/>
        </w:rPr>
        <w:t>1</w:t>
      </w:r>
      <w:r w:rsidRPr="00346DA7">
        <w:rPr>
          <w:sz w:val="24"/>
          <w:szCs w:val="24"/>
        </w:rPr>
        <w:tab/>
      </w:r>
      <w:r w:rsidRPr="00346DA7">
        <w:rPr>
          <w:sz w:val="24"/>
          <w:szCs w:val="24"/>
        </w:rPr>
        <w:t xml:space="preserve">At the time, it all of these lacustrine strata were considered Late Triassic in age partly because of the presence of prosauropod dinosaurs in the Portland Formation, thought at the time to be restricted to the Triassic (Cox, 1967), but also because there was little appreciation of the faunal changes thought the Hartford and Newark Basins [e.g., Lull, 1903; 1915; 1953), and the presence of various </w:t>
      </w:r>
      <w:proofErr w:type="spellStart"/>
      <w:r w:rsidRPr="00346DA7">
        <w:rPr>
          <w:sz w:val="24"/>
          <w:szCs w:val="24"/>
        </w:rPr>
        <w:t>pseudosuchians</w:t>
      </w:r>
      <w:proofErr w:type="spellEnd"/>
      <w:r w:rsidRPr="00346DA7">
        <w:rPr>
          <w:sz w:val="24"/>
          <w:szCs w:val="24"/>
        </w:rPr>
        <w:t xml:space="preserve"> such as phytosaurs and aetosaurs in older strata was conflated with the “prosauropods” in the younger strata. This is despite having been discussed in many papers prior to the 1950s as Jura-Triassic in age. For example (Lull, 1915; p. 20) states, “…and thus the Newark system as a whole may bridge the time between the Triassic and the Jurassic…”, a position abandoned by 1953 (Lull, 1953). This was not rectified until the work of Baird (1955), largely on footprints, followed by work on pollen and spores by Cornet et al. (1973), Cornet et al. (1975), and Cornet (1977), all which has stood up very well, in broad strokes.</w:t>
      </w:r>
    </w:p>
    <w:p w:rsidR="00F66700" w:rsidRPr="00346DA7" w:rsidRDefault="00F66700" w:rsidP="00F66700">
      <w:pPr>
        <w:pStyle w:val="FootnoteText"/>
        <w:ind w:left="360" w:hanging="360"/>
        <w:rPr>
          <w:sz w:val="24"/>
          <w:szCs w:val="24"/>
        </w:rPr>
      </w:pPr>
    </w:p>
    <w:p w:rsidR="00E45CFF" w:rsidRPr="00346DA7" w:rsidRDefault="00F66700" w:rsidP="00E45CFF">
      <w:pPr>
        <w:pStyle w:val="FootnoteText"/>
        <w:ind w:left="360" w:hanging="360"/>
        <w:rPr>
          <w:sz w:val="24"/>
          <w:szCs w:val="24"/>
        </w:rPr>
      </w:pPr>
      <w:r w:rsidRPr="00346DA7">
        <w:rPr>
          <w:rStyle w:val="FootnoteReference"/>
          <w:sz w:val="24"/>
          <w:szCs w:val="24"/>
        </w:rPr>
        <w:t>3</w:t>
      </w:r>
      <w:r w:rsidRPr="00346DA7">
        <w:rPr>
          <w:sz w:val="24"/>
          <w:szCs w:val="24"/>
          <w:vertAlign w:val="superscript"/>
        </w:rPr>
        <w:t>2</w:t>
      </w:r>
      <w:r w:rsidRPr="00346DA7">
        <w:rPr>
          <w:sz w:val="24"/>
          <w:szCs w:val="24"/>
        </w:rPr>
        <w:t xml:space="preserve"> </w:t>
      </w:r>
      <w:r w:rsidRPr="00346DA7">
        <w:rPr>
          <w:sz w:val="24"/>
          <w:szCs w:val="24"/>
        </w:rPr>
        <w:tab/>
        <w:t>When</w:t>
      </w:r>
      <w:r w:rsidRPr="00346DA7">
        <w:rPr>
          <w:sz w:val="24"/>
          <w:szCs w:val="24"/>
        </w:rPr>
        <w:t xml:space="preserve"> Van </w:t>
      </w:r>
      <w:proofErr w:type="spellStart"/>
      <w:r w:rsidRPr="00346DA7">
        <w:rPr>
          <w:sz w:val="24"/>
          <w:szCs w:val="24"/>
        </w:rPr>
        <w:t>Houten</w:t>
      </w:r>
      <w:proofErr w:type="spellEnd"/>
      <w:r w:rsidRPr="00346DA7">
        <w:rPr>
          <w:sz w:val="24"/>
          <w:szCs w:val="24"/>
        </w:rPr>
        <w:t xml:space="preserve"> recognized that there are groupings of roughly 5 m thick cycles paced by “precession” into </w:t>
      </w:r>
      <w:proofErr w:type="spellStart"/>
      <w:r w:rsidRPr="00346DA7">
        <w:rPr>
          <w:sz w:val="24"/>
          <w:szCs w:val="24"/>
        </w:rPr>
        <w:t>bundels</w:t>
      </w:r>
      <w:proofErr w:type="spellEnd"/>
      <w:r w:rsidRPr="00346DA7">
        <w:rPr>
          <w:sz w:val="24"/>
          <w:szCs w:val="24"/>
        </w:rPr>
        <w:t xml:space="preserve"> of ~ 5 making ~100 m cycles, which in turn were bundled into 400-500 m cycles, the language for translating these into eccentricity-paced cycles did not exist for geologists or paleoclimatologists.</w:t>
      </w:r>
    </w:p>
    <w:p w:rsidR="00E45CFF" w:rsidRPr="00346DA7" w:rsidRDefault="00E45CFF" w:rsidP="00E45CFF">
      <w:pPr>
        <w:pStyle w:val="FootnoteText"/>
        <w:ind w:left="360" w:hanging="360"/>
        <w:rPr>
          <w:sz w:val="24"/>
          <w:szCs w:val="24"/>
        </w:rPr>
      </w:pPr>
    </w:p>
    <w:p w:rsidR="00E45CFF" w:rsidRPr="00346DA7" w:rsidRDefault="00E45CFF" w:rsidP="00E45CFF">
      <w:pPr>
        <w:pStyle w:val="FootnoteText"/>
        <w:ind w:left="360" w:hanging="360"/>
        <w:rPr>
          <w:sz w:val="24"/>
          <w:szCs w:val="24"/>
        </w:rPr>
      </w:pPr>
      <w:r w:rsidRPr="00346DA7">
        <w:rPr>
          <w:rStyle w:val="FootnoteReference"/>
          <w:color w:val="000000" w:themeColor="text1"/>
          <w:sz w:val="24"/>
          <w:szCs w:val="24"/>
        </w:rPr>
        <w:t>3</w:t>
      </w:r>
      <w:r w:rsidRPr="00346DA7">
        <w:rPr>
          <w:color w:val="000000" w:themeColor="text1"/>
          <w:sz w:val="24"/>
          <w:szCs w:val="24"/>
          <w:vertAlign w:val="superscript"/>
        </w:rPr>
        <w:t>3</w:t>
      </w:r>
      <w:r w:rsidRPr="00346DA7">
        <w:rPr>
          <w:color w:val="000000" w:themeColor="text1"/>
          <w:sz w:val="24"/>
          <w:szCs w:val="24"/>
        </w:rPr>
        <w:tab/>
      </w:r>
      <w:r w:rsidRPr="00346DA7">
        <w:rPr>
          <w:color w:val="000000" w:themeColor="text1"/>
          <w:sz w:val="24"/>
          <w:szCs w:val="24"/>
        </w:rPr>
        <w:t xml:space="preserve">We were also inspired by hand-held XRF analyses done on Portland Formation cores by </w:t>
      </w:r>
      <w:proofErr w:type="spellStart"/>
      <w:r w:rsidRPr="00346DA7">
        <w:rPr>
          <w:color w:val="000000" w:themeColor="text1"/>
          <w:sz w:val="24"/>
          <w:szCs w:val="24"/>
        </w:rPr>
        <w:t>Lallier</w:t>
      </w:r>
      <w:proofErr w:type="spellEnd"/>
      <w:r w:rsidRPr="00346DA7">
        <w:rPr>
          <w:color w:val="000000" w:themeColor="text1"/>
          <w:sz w:val="24"/>
          <w:szCs w:val="24"/>
        </w:rPr>
        <w:t xml:space="preserve"> et al. (2012).</w:t>
      </w:r>
    </w:p>
    <w:p w:rsidR="00E45CFF" w:rsidRPr="00346DA7" w:rsidRDefault="00E45CFF" w:rsidP="00E45CFF">
      <w:pPr>
        <w:pStyle w:val="FootnoteText"/>
        <w:ind w:left="360" w:hanging="360"/>
        <w:rPr>
          <w:sz w:val="24"/>
          <w:szCs w:val="24"/>
        </w:rPr>
      </w:pPr>
    </w:p>
    <w:p w:rsidR="00E45CFF" w:rsidRPr="00346DA7" w:rsidRDefault="00E45CFF" w:rsidP="00E45CFF">
      <w:pPr>
        <w:pStyle w:val="FootnoteText"/>
        <w:ind w:left="360" w:hanging="360"/>
        <w:rPr>
          <w:sz w:val="24"/>
          <w:szCs w:val="24"/>
        </w:rPr>
      </w:pPr>
      <w:r w:rsidRPr="00346DA7">
        <w:rPr>
          <w:rStyle w:val="FootnoteReference"/>
          <w:sz w:val="24"/>
          <w:szCs w:val="24"/>
        </w:rPr>
        <w:t>3</w:t>
      </w:r>
      <w:r w:rsidRPr="00346DA7">
        <w:rPr>
          <w:sz w:val="24"/>
          <w:szCs w:val="24"/>
          <w:vertAlign w:val="superscript"/>
        </w:rPr>
        <w:t>4</w:t>
      </w:r>
      <w:r w:rsidRPr="00346DA7">
        <w:rPr>
          <w:sz w:val="24"/>
          <w:szCs w:val="24"/>
        </w:rPr>
        <w:tab/>
      </w:r>
      <w:r w:rsidRPr="00346DA7">
        <w:rPr>
          <w:sz w:val="24"/>
          <w:szCs w:val="24"/>
        </w:rPr>
        <w:t>At the time the Triassic-Jurassic boundary and palynological ETE were treated the same event, unlike today.</w:t>
      </w:r>
    </w:p>
    <w:p w:rsidR="00E45CFF" w:rsidRPr="00346DA7" w:rsidRDefault="00E45CFF" w:rsidP="00E45CFF">
      <w:pPr>
        <w:pStyle w:val="FootnoteText"/>
        <w:ind w:left="360" w:hanging="360"/>
        <w:rPr>
          <w:sz w:val="24"/>
          <w:szCs w:val="24"/>
        </w:rPr>
      </w:pPr>
    </w:p>
    <w:p w:rsidR="001767E2" w:rsidRPr="00346DA7" w:rsidRDefault="00E45CFF" w:rsidP="001767E2">
      <w:pPr>
        <w:pStyle w:val="FootnoteText"/>
        <w:ind w:left="360" w:hanging="360"/>
        <w:rPr>
          <w:sz w:val="24"/>
          <w:szCs w:val="24"/>
        </w:rPr>
      </w:pPr>
      <w:r w:rsidRPr="00346DA7">
        <w:rPr>
          <w:rStyle w:val="FootnoteReference"/>
          <w:sz w:val="24"/>
          <w:szCs w:val="24"/>
        </w:rPr>
        <w:t>3</w:t>
      </w:r>
      <w:r w:rsidRPr="00346DA7">
        <w:rPr>
          <w:sz w:val="24"/>
          <w:szCs w:val="24"/>
          <w:vertAlign w:val="superscript"/>
        </w:rPr>
        <w:t>5</w:t>
      </w:r>
      <w:r w:rsidRPr="00346DA7">
        <w:rPr>
          <w:sz w:val="24"/>
          <w:szCs w:val="24"/>
        </w:rPr>
        <w:tab/>
      </w:r>
      <w:r w:rsidRPr="00346DA7">
        <w:rPr>
          <w:sz w:val="24"/>
          <w:szCs w:val="24"/>
        </w:rPr>
        <w:t xml:space="preserve">Magnetozone E23r was originally termed E23n.lr in Kent et al. (1995) and renamed E23r in Kent and Olsen (1999) to emphasize its importance as the youngest reverse polarity zone in the Newark Basin section, and </w:t>
      </w:r>
      <w:proofErr w:type="gramStart"/>
      <w:r w:rsidRPr="00346DA7">
        <w:rPr>
          <w:sz w:val="24"/>
          <w:szCs w:val="24"/>
        </w:rPr>
        <w:t>it</w:t>
      </w:r>
      <w:proofErr w:type="gramEnd"/>
      <w:r w:rsidRPr="00346DA7">
        <w:rPr>
          <w:sz w:val="24"/>
          <w:szCs w:val="24"/>
        </w:rPr>
        <w:t xml:space="preserve"> relation to the ETE.</w:t>
      </w:r>
    </w:p>
    <w:p w:rsidR="001767E2" w:rsidRPr="00346DA7" w:rsidRDefault="001767E2" w:rsidP="001767E2">
      <w:pPr>
        <w:pStyle w:val="FootnoteText"/>
        <w:ind w:left="360" w:hanging="360"/>
        <w:rPr>
          <w:sz w:val="24"/>
          <w:szCs w:val="24"/>
        </w:rPr>
      </w:pPr>
    </w:p>
    <w:p w:rsidR="001767E2" w:rsidRPr="00346DA7" w:rsidRDefault="001767E2" w:rsidP="001767E2">
      <w:pPr>
        <w:pStyle w:val="FootnoteText"/>
        <w:ind w:left="360" w:hanging="360"/>
        <w:rPr>
          <w:sz w:val="24"/>
          <w:szCs w:val="24"/>
        </w:rPr>
      </w:pPr>
      <w:r w:rsidRPr="00346DA7">
        <w:rPr>
          <w:rStyle w:val="FootnoteReference"/>
          <w:sz w:val="24"/>
          <w:szCs w:val="24"/>
        </w:rPr>
        <w:t>3</w:t>
      </w:r>
      <w:r w:rsidRPr="00346DA7">
        <w:rPr>
          <w:sz w:val="24"/>
          <w:szCs w:val="24"/>
          <w:vertAlign w:val="superscript"/>
        </w:rPr>
        <w:t>6</w:t>
      </w:r>
      <w:r w:rsidRPr="00346DA7">
        <w:rPr>
          <w:sz w:val="24"/>
          <w:szCs w:val="24"/>
        </w:rPr>
        <w:tab/>
      </w:r>
      <w:r w:rsidRPr="00346DA7">
        <w:rPr>
          <w:sz w:val="24"/>
          <w:szCs w:val="24"/>
        </w:rPr>
        <w:t xml:space="preserve">The </w:t>
      </w:r>
      <w:proofErr w:type="spellStart"/>
      <w:r w:rsidRPr="00346DA7">
        <w:rPr>
          <w:sz w:val="24"/>
          <w:szCs w:val="24"/>
        </w:rPr>
        <w:t>Feltville</w:t>
      </w:r>
      <w:proofErr w:type="spellEnd"/>
      <w:r w:rsidRPr="00346DA7">
        <w:rPr>
          <w:sz w:val="24"/>
          <w:szCs w:val="24"/>
        </w:rPr>
        <w:t xml:space="preserve"> accumulation rate would be more than twice that (15m/20 kyr = 0.75m/kyr) in the ETE interval in Martinsville (9m/28kyr = 0.32m/kyr), and that in the overlying Towaco Formation would be nearly twice again the rate in the </w:t>
      </w:r>
      <w:proofErr w:type="spellStart"/>
      <w:r w:rsidRPr="00346DA7">
        <w:rPr>
          <w:sz w:val="24"/>
          <w:szCs w:val="24"/>
        </w:rPr>
        <w:t>Feltville</w:t>
      </w:r>
      <w:proofErr w:type="spellEnd"/>
      <w:r w:rsidRPr="00346DA7">
        <w:rPr>
          <w:sz w:val="24"/>
          <w:szCs w:val="24"/>
        </w:rPr>
        <w:t xml:space="preserve"> (26m/20kyr = 1.30m/kyr).</w:t>
      </w:r>
    </w:p>
    <w:p w:rsidR="001767E2" w:rsidRPr="00346DA7" w:rsidRDefault="001767E2" w:rsidP="001767E2">
      <w:pPr>
        <w:pStyle w:val="FootnoteText"/>
        <w:ind w:left="360" w:hanging="360"/>
        <w:rPr>
          <w:sz w:val="24"/>
          <w:szCs w:val="24"/>
        </w:rPr>
      </w:pPr>
    </w:p>
    <w:p w:rsidR="007955F3" w:rsidRPr="00346DA7" w:rsidRDefault="001767E2" w:rsidP="007955F3">
      <w:pPr>
        <w:pStyle w:val="FootnoteText"/>
        <w:ind w:left="360" w:hanging="360"/>
        <w:rPr>
          <w:sz w:val="24"/>
          <w:szCs w:val="24"/>
        </w:rPr>
      </w:pPr>
      <w:r w:rsidRPr="00346DA7">
        <w:rPr>
          <w:rStyle w:val="FootnoteReference"/>
          <w:sz w:val="24"/>
          <w:szCs w:val="24"/>
        </w:rPr>
        <w:t>3</w:t>
      </w:r>
      <w:r w:rsidRPr="00346DA7">
        <w:rPr>
          <w:sz w:val="24"/>
          <w:szCs w:val="24"/>
          <w:vertAlign w:val="superscript"/>
        </w:rPr>
        <w:t>7</w:t>
      </w:r>
      <w:r w:rsidRPr="00346DA7">
        <w:rPr>
          <w:sz w:val="24"/>
          <w:szCs w:val="24"/>
        </w:rPr>
        <w:tab/>
      </w:r>
      <w:r w:rsidRPr="00346DA7">
        <w:rPr>
          <w:sz w:val="24"/>
          <w:szCs w:val="24"/>
        </w:rPr>
        <w:t xml:space="preserve">This is clear not only by visual inspection of the moving window evolutive and wavelet spectra (Fig. </w:t>
      </w:r>
      <w:r w:rsidR="00AD060F" w:rsidRPr="00346DA7">
        <w:rPr>
          <w:sz w:val="24"/>
          <w:szCs w:val="24"/>
        </w:rPr>
        <w:t>16</w:t>
      </w:r>
      <w:r w:rsidRPr="00346DA7">
        <w:rPr>
          <w:sz w:val="24"/>
          <w:szCs w:val="24"/>
        </w:rPr>
        <w:t xml:space="preserve">), but also by examination of the sequence using </w:t>
      </w:r>
      <w:proofErr w:type="spellStart"/>
      <w:r w:rsidRPr="00346DA7">
        <w:rPr>
          <w:sz w:val="24"/>
          <w:szCs w:val="24"/>
        </w:rPr>
        <w:t>eTimeOpt</w:t>
      </w:r>
      <w:proofErr w:type="spellEnd"/>
      <w:r w:rsidRPr="00346DA7">
        <w:rPr>
          <w:sz w:val="24"/>
          <w:szCs w:val="24"/>
        </w:rPr>
        <w:t xml:space="preserve"> (Meyers, 2019) which accesses best fit orbital pacing</w:t>
      </w:r>
      <w:r w:rsidR="0007721A" w:rsidRPr="00346DA7">
        <w:rPr>
          <w:sz w:val="24"/>
          <w:szCs w:val="24"/>
        </w:rPr>
        <w:t>-</w:t>
      </w:r>
      <w:r w:rsidRPr="00346DA7">
        <w:rPr>
          <w:sz w:val="24"/>
          <w:szCs w:val="24"/>
        </w:rPr>
        <w:t>based accumulation rates.</w:t>
      </w:r>
    </w:p>
    <w:p w:rsidR="007955F3" w:rsidRPr="00346DA7" w:rsidRDefault="007955F3" w:rsidP="007955F3">
      <w:pPr>
        <w:pStyle w:val="FootnoteText"/>
        <w:ind w:left="360" w:hanging="360"/>
        <w:rPr>
          <w:sz w:val="24"/>
          <w:szCs w:val="24"/>
        </w:rPr>
      </w:pPr>
    </w:p>
    <w:p w:rsidR="007955F3" w:rsidRPr="00346DA7" w:rsidRDefault="007955F3" w:rsidP="007955F3">
      <w:pPr>
        <w:pStyle w:val="FootnoteText"/>
        <w:ind w:left="360" w:hanging="360"/>
        <w:rPr>
          <w:sz w:val="24"/>
          <w:szCs w:val="24"/>
        </w:rPr>
      </w:pPr>
      <w:r w:rsidRPr="00346DA7">
        <w:rPr>
          <w:rStyle w:val="FootnoteReference"/>
          <w:sz w:val="24"/>
          <w:szCs w:val="24"/>
        </w:rPr>
        <w:t>3</w:t>
      </w:r>
      <w:r w:rsidRPr="00346DA7">
        <w:rPr>
          <w:sz w:val="24"/>
          <w:szCs w:val="24"/>
          <w:vertAlign w:val="superscript"/>
        </w:rPr>
        <w:t>8</w:t>
      </w:r>
      <w:r w:rsidRPr="00346DA7">
        <w:rPr>
          <w:sz w:val="24"/>
          <w:szCs w:val="24"/>
        </w:rPr>
        <w:tab/>
      </w:r>
      <w:r w:rsidRPr="00346DA7">
        <w:rPr>
          <w:sz w:val="24"/>
          <w:szCs w:val="24"/>
        </w:rPr>
        <w:t xml:space="preserve">La10d ETP (eccentricity: E, tilt: T, precession: P) with E=1, T=0.4, P= -0.75. Time interval of solution shifted to align phase of 1.8 Myr cycle with data. </w:t>
      </w:r>
    </w:p>
    <w:p w:rsidR="007955F3" w:rsidRPr="00346DA7" w:rsidRDefault="00B27ABE" w:rsidP="007955F3">
      <w:pPr>
        <w:pStyle w:val="FootnoteText"/>
        <w:ind w:left="360" w:hanging="360"/>
        <w:rPr>
          <w:sz w:val="24"/>
          <w:szCs w:val="24"/>
        </w:rPr>
      </w:pPr>
      <w:r w:rsidRPr="00346DA7">
        <w:rPr>
          <w:rStyle w:val="FootnoteReference"/>
          <w:sz w:val="24"/>
          <w:szCs w:val="24"/>
        </w:rPr>
        <w:lastRenderedPageBreak/>
        <w:t>3</w:t>
      </w:r>
      <w:r w:rsidRPr="00346DA7">
        <w:rPr>
          <w:sz w:val="24"/>
          <w:szCs w:val="24"/>
          <w:vertAlign w:val="superscript"/>
        </w:rPr>
        <w:t>9</w:t>
      </w:r>
      <w:r w:rsidR="007955F3" w:rsidRPr="00346DA7">
        <w:rPr>
          <w:sz w:val="24"/>
          <w:szCs w:val="24"/>
        </w:rPr>
        <w:tab/>
      </w:r>
      <w:r w:rsidR="007955F3" w:rsidRPr="00346DA7">
        <w:rPr>
          <w:sz w:val="24"/>
          <w:szCs w:val="24"/>
        </w:rPr>
        <w:t xml:space="preserve">The lower </w:t>
      </w:r>
      <w:proofErr w:type="spellStart"/>
      <w:r w:rsidR="007955F3" w:rsidRPr="00346DA7">
        <w:rPr>
          <w:sz w:val="24"/>
          <w:szCs w:val="24"/>
        </w:rPr>
        <w:t>Feltville</w:t>
      </w:r>
      <w:proofErr w:type="spellEnd"/>
      <w:r w:rsidR="007955F3" w:rsidRPr="00346DA7">
        <w:rPr>
          <w:sz w:val="24"/>
          <w:szCs w:val="24"/>
        </w:rPr>
        <w:t xml:space="preserve"> is clearly condensed in the Martinsville core compared to the ACE cores and lower Shuttle Meadow Formation (Fig. X). Therefore, ACE core PT26 was scaled to the part of the section that was not condensed and then patched together to make a continuous depth rank series.</w:t>
      </w:r>
    </w:p>
    <w:p w:rsidR="007955F3" w:rsidRPr="00346DA7" w:rsidRDefault="007955F3" w:rsidP="007955F3">
      <w:pPr>
        <w:pStyle w:val="FootnoteText"/>
        <w:ind w:left="360" w:hanging="360"/>
        <w:rPr>
          <w:sz w:val="24"/>
          <w:szCs w:val="24"/>
        </w:rPr>
      </w:pPr>
    </w:p>
    <w:p w:rsidR="007955F3" w:rsidRPr="00346DA7" w:rsidRDefault="00B27ABE" w:rsidP="007955F3">
      <w:pPr>
        <w:pStyle w:val="FootnoteText"/>
        <w:ind w:left="360" w:hanging="360"/>
        <w:rPr>
          <w:sz w:val="24"/>
          <w:szCs w:val="24"/>
        </w:rPr>
      </w:pPr>
      <w:r w:rsidRPr="00346DA7">
        <w:rPr>
          <w:rStyle w:val="FootnoteReference"/>
          <w:sz w:val="24"/>
          <w:szCs w:val="24"/>
        </w:rPr>
        <w:t>4</w:t>
      </w:r>
      <w:r w:rsidRPr="00346DA7">
        <w:rPr>
          <w:sz w:val="24"/>
          <w:szCs w:val="24"/>
          <w:vertAlign w:val="superscript"/>
        </w:rPr>
        <w:t>0</w:t>
      </w:r>
      <w:r w:rsidR="007955F3" w:rsidRPr="00346DA7">
        <w:rPr>
          <w:sz w:val="24"/>
          <w:szCs w:val="24"/>
        </w:rPr>
        <w:tab/>
      </w:r>
      <w:r w:rsidR="007955F3" w:rsidRPr="00346DA7">
        <w:rPr>
          <w:sz w:val="24"/>
          <w:szCs w:val="24"/>
        </w:rPr>
        <w:t xml:space="preserve">Based on the composite ACE and </w:t>
      </w:r>
      <w:proofErr w:type="spellStart"/>
      <w:r w:rsidR="007955F3" w:rsidRPr="00346DA7">
        <w:rPr>
          <w:sz w:val="24"/>
          <w:szCs w:val="24"/>
        </w:rPr>
        <w:t>Martinville</w:t>
      </w:r>
      <w:proofErr w:type="spellEnd"/>
      <w:r w:rsidR="007955F3" w:rsidRPr="00346DA7">
        <w:rPr>
          <w:sz w:val="24"/>
          <w:szCs w:val="24"/>
        </w:rPr>
        <w:t xml:space="preserve"> section of the </w:t>
      </w:r>
      <w:proofErr w:type="spellStart"/>
      <w:r w:rsidR="007955F3" w:rsidRPr="00346DA7">
        <w:rPr>
          <w:sz w:val="24"/>
          <w:szCs w:val="24"/>
        </w:rPr>
        <w:t>Feltville</w:t>
      </w:r>
      <w:proofErr w:type="spellEnd"/>
      <w:r w:rsidR="007955F3" w:rsidRPr="00346DA7">
        <w:rPr>
          <w:sz w:val="24"/>
          <w:szCs w:val="24"/>
        </w:rPr>
        <w:t xml:space="preserve">, there are 7 complete cycles in the </w:t>
      </w:r>
      <w:proofErr w:type="spellStart"/>
      <w:r w:rsidR="007955F3" w:rsidRPr="00346DA7">
        <w:rPr>
          <w:sz w:val="24"/>
          <w:szCs w:val="24"/>
        </w:rPr>
        <w:t>Feltville</w:t>
      </w:r>
      <w:proofErr w:type="spellEnd"/>
      <w:r w:rsidR="007955F3" w:rsidRPr="00346DA7">
        <w:rPr>
          <w:sz w:val="24"/>
          <w:szCs w:val="24"/>
        </w:rPr>
        <w:t xml:space="preserve">. At 36kyr cycle each [based on an obliquity period for 201.5 Ma from Laskar et al. (2011) solutions], this yields 252kyr for the entire formation; based on the U-Pb dates (Blackburn et al., 2013), the duration of the </w:t>
      </w:r>
      <w:proofErr w:type="spellStart"/>
      <w:r w:rsidR="007955F3" w:rsidRPr="00346DA7">
        <w:rPr>
          <w:sz w:val="24"/>
          <w:szCs w:val="24"/>
        </w:rPr>
        <w:t>Feltville</w:t>
      </w:r>
      <w:proofErr w:type="spellEnd"/>
      <w:r w:rsidR="007955F3" w:rsidRPr="00346DA7">
        <w:rPr>
          <w:sz w:val="24"/>
          <w:szCs w:val="24"/>
        </w:rPr>
        <w:t xml:space="preserve"> should be 248 ± 0.033 kyr (RMS uncertainty), in clear agreement with the obliquity-based </w:t>
      </w:r>
      <w:proofErr w:type="spellStart"/>
      <w:r w:rsidR="007955F3" w:rsidRPr="00346DA7">
        <w:rPr>
          <w:sz w:val="24"/>
          <w:szCs w:val="24"/>
        </w:rPr>
        <w:t>cyclostratigraphy</w:t>
      </w:r>
      <w:proofErr w:type="spellEnd"/>
      <w:r w:rsidR="007955F3" w:rsidRPr="00346DA7">
        <w:rPr>
          <w:sz w:val="24"/>
          <w:szCs w:val="24"/>
        </w:rPr>
        <w:t xml:space="preserve">. The accumulation rates determined independently from </w:t>
      </w:r>
      <w:proofErr w:type="spellStart"/>
      <w:r w:rsidR="007955F3" w:rsidRPr="00346DA7">
        <w:rPr>
          <w:sz w:val="24"/>
          <w:szCs w:val="24"/>
        </w:rPr>
        <w:t>TimeOpt</w:t>
      </w:r>
      <w:proofErr w:type="spellEnd"/>
      <w:r w:rsidR="007955F3" w:rsidRPr="00346DA7">
        <w:rPr>
          <w:sz w:val="24"/>
          <w:szCs w:val="24"/>
        </w:rPr>
        <w:t xml:space="preserve"> (Meyers, 2018) agrees with the estimates from counting cycles and the bounding U-Pb dates (Fig X). </w:t>
      </w:r>
    </w:p>
    <w:p w:rsidR="007955F3" w:rsidRPr="00346DA7" w:rsidRDefault="007955F3" w:rsidP="007955F3">
      <w:pPr>
        <w:pStyle w:val="FootnoteText"/>
        <w:ind w:left="360" w:hanging="360"/>
        <w:rPr>
          <w:sz w:val="24"/>
          <w:szCs w:val="24"/>
        </w:rPr>
      </w:pPr>
    </w:p>
    <w:p w:rsidR="003D1677" w:rsidRPr="00346DA7" w:rsidRDefault="00B27ABE" w:rsidP="003D1677">
      <w:pPr>
        <w:pStyle w:val="FootnoteText"/>
        <w:ind w:left="360" w:hanging="360"/>
        <w:rPr>
          <w:sz w:val="24"/>
          <w:szCs w:val="24"/>
        </w:rPr>
      </w:pPr>
      <w:r w:rsidRPr="00346DA7">
        <w:rPr>
          <w:rStyle w:val="FootnoteReference"/>
          <w:sz w:val="24"/>
          <w:szCs w:val="24"/>
        </w:rPr>
        <w:t>4</w:t>
      </w:r>
      <w:r w:rsidRPr="00346DA7">
        <w:rPr>
          <w:sz w:val="24"/>
          <w:szCs w:val="24"/>
          <w:vertAlign w:val="superscript"/>
        </w:rPr>
        <w:t>1</w:t>
      </w:r>
      <w:r w:rsidR="007955F3" w:rsidRPr="00346DA7">
        <w:rPr>
          <w:sz w:val="24"/>
          <w:szCs w:val="24"/>
        </w:rPr>
        <w:tab/>
      </w:r>
      <w:r w:rsidR="007955F3" w:rsidRPr="00346DA7">
        <w:rPr>
          <w:sz w:val="24"/>
          <w:szCs w:val="24"/>
        </w:rPr>
        <w:t>Whiteside et al. (2007) used fundamental frequencies g</w:t>
      </w:r>
      <w:r w:rsidR="007955F3" w:rsidRPr="00346DA7">
        <w:rPr>
          <w:sz w:val="24"/>
          <w:szCs w:val="24"/>
          <w:vertAlign w:val="subscript"/>
        </w:rPr>
        <w:t>2</w:t>
      </w:r>
      <w:r w:rsidR="007955F3" w:rsidRPr="00346DA7">
        <w:rPr>
          <w:sz w:val="24"/>
          <w:szCs w:val="24"/>
        </w:rPr>
        <w:t xml:space="preserve"> and g</w:t>
      </w:r>
      <w:r w:rsidR="007955F3" w:rsidRPr="00346DA7">
        <w:rPr>
          <w:sz w:val="24"/>
          <w:szCs w:val="24"/>
          <w:vertAlign w:val="subscript"/>
        </w:rPr>
        <w:t>5</w:t>
      </w:r>
      <w:r w:rsidR="007955F3" w:rsidRPr="00346DA7">
        <w:rPr>
          <w:sz w:val="24"/>
          <w:szCs w:val="24"/>
        </w:rPr>
        <w:t xml:space="preserve"> from Laskar et al. (2004), mean Triassic fundamental frequencies of g</w:t>
      </w:r>
      <w:r w:rsidR="007955F3" w:rsidRPr="00346DA7">
        <w:rPr>
          <w:sz w:val="24"/>
          <w:szCs w:val="24"/>
          <w:vertAlign w:val="subscript"/>
        </w:rPr>
        <w:t>3</w:t>
      </w:r>
      <w:r w:rsidR="007955F3" w:rsidRPr="00346DA7">
        <w:rPr>
          <w:sz w:val="24"/>
          <w:szCs w:val="24"/>
        </w:rPr>
        <w:t xml:space="preserve"> and g</w:t>
      </w:r>
      <w:r w:rsidR="007955F3" w:rsidRPr="00346DA7">
        <w:rPr>
          <w:sz w:val="24"/>
          <w:szCs w:val="24"/>
          <w:vertAlign w:val="subscript"/>
        </w:rPr>
        <w:t>4</w:t>
      </w:r>
      <w:r w:rsidR="007955F3" w:rsidRPr="00346DA7">
        <w:rPr>
          <w:sz w:val="24"/>
          <w:szCs w:val="24"/>
        </w:rPr>
        <w:t xml:space="preserve"> from Olsen and Kent (1999) based on the Newark Basin cores for the Passaic and </w:t>
      </w:r>
      <w:proofErr w:type="spellStart"/>
      <w:r w:rsidR="007955F3" w:rsidRPr="00346DA7">
        <w:rPr>
          <w:sz w:val="24"/>
          <w:szCs w:val="24"/>
        </w:rPr>
        <w:t>Lockatong</w:t>
      </w:r>
      <w:proofErr w:type="spellEnd"/>
      <w:r w:rsidR="007955F3" w:rsidRPr="00346DA7">
        <w:rPr>
          <w:sz w:val="24"/>
          <w:szCs w:val="24"/>
        </w:rPr>
        <w:t xml:space="preserve"> Formations, a </w:t>
      </w:r>
      <w:proofErr w:type="spellStart"/>
      <w:r w:rsidR="007955F3" w:rsidRPr="00346DA7">
        <w:rPr>
          <w:sz w:val="24"/>
          <w:szCs w:val="24"/>
        </w:rPr>
        <w:t>precessional</w:t>
      </w:r>
      <w:proofErr w:type="spellEnd"/>
      <w:r w:rsidR="007955F3" w:rsidRPr="00346DA7">
        <w:rPr>
          <w:sz w:val="24"/>
          <w:szCs w:val="24"/>
        </w:rPr>
        <w:t xml:space="preserve"> constant for 202 Ma based on Berger et al. (1992), and amplitudes based on Laskar et al. (2004).</w:t>
      </w:r>
    </w:p>
    <w:p w:rsidR="003D1677" w:rsidRPr="00346DA7" w:rsidRDefault="003D1677" w:rsidP="003D1677">
      <w:pPr>
        <w:pStyle w:val="FootnoteText"/>
        <w:ind w:left="360" w:hanging="360"/>
        <w:rPr>
          <w:sz w:val="24"/>
          <w:szCs w:val="24"/>
        </w:rPr>
      </w:pPr>
    </w:p>
    <w:p w:rsidR="00253612" w:rsidRPr="00346DA7" w:rsidRDefault="003D1677" w:rsidP="00253612">
      <w:pPr>
        <w:pStyle w:val="FootnoteText"/>
        <w:ind w:left="360" w:hanging="360"/>
        <w:rPr>
          <w:sz w:val="24"/>
          <w:szCs w:val="24"/>
        </w:rPr>
      </w:pPr>
      <w:r w:rsidRPr="00346DA7">
        <w:rPr>
          <w:rStyle w:val="FootnoteReference"/>
          <w:sz w:val="24"/>
          <w:szCs w:val="24"/>
        </w:rPr>
        <w:t>4</w:t>
      </w:r>
      <w:r w:rsidRPr="00346DA7">
        <w:rPr>
          <w:sz w:val="24"/>
          <w:szCs w:val="24"/>
          <w:vertAlign w:val="superscript"/>
        </w:rPr>
        <w:t>2</w:t>
      </w:r>
      <w:r w:rsidRPr="00346DA7">
        <w:rPr>
          <w:sz w:val="24"/>
          <w:szCs w:val="24"/>
        </w:rPr>
        <w:tab/>
      </w:r>
      <w:r w:rsidRPr="00346DA7">
        <w:rPr>
          <w:sz w:val="24"/>
          <w:szCs w:val="24"/>
        </w:rPr>
        <w:t>Although there is little effect on the facies, the geochemistry of this basal interval is compromised by the presence of an igneous intrusive sill.</w:t>
      </w:r>
    </w:p>
    <w:p w:rsidR="00253612" w:rsidRPr="00346DA7" w:rsidRDefault="00253612" w:rsidP="00253612">
      <w:pPr>
        <w:pStyle w:val="FootnoteText"/>
        <w:ind w:left="360" w:hanging="360"/>
        <w:rPr>
          <w:sz w:val="24"/>
          <w:szCs w:val="24"/>
        </w:rPr>
      </w:pPr>
    </w:p>
    <w:p w:rsidR="00C25CA3" w:rsidRPr="00346DA7" w:rsidRDefault="00253612" w:rsidP="00C25CA3">
      <w:pPr>
        <w:pStyle w:val="FootnoteText"/>
        <w:ind w:left="360" w:hanging="360"/>
        <w:rPr>
          <w:sz w:val="24"/>
          <w:szCs w:val="24"/>
        </w:rPr>
      </w:pPr>
      <w:r w:rsidRPr="00346DA7">
        <w:rPr>
          <w:rStyle w:val="FootnoteReference"/>
          <w:sz w:val="24"/>
          <w:szCs w:val="24"/>
        </w:rPr>
        <w:t>4</w:t>
      </w:r>
      <w:r w:rsidRPr="00346DA7">
        <w:rPr>
          <w:sz w:val="24"/>
          <w:szCs w:val="24"/>
          <w:vertAlign w:val="superscript"/>
        </w:rPr>
        <w:t>3</w:t>
      </w:r>
      <w:r w:rsidRPr="00346DA7">
        <w:rPr>
          <w:sz w:val="24"/>
          <w:szCs w:val="24"/>
          <w:vertAlign w:val="superscript"/>
        </w:rPr>
        <w:tab/>
      </w:r>
      <w:r w:rsidRPr="00346DA7">
        <w:rPr>
          <w:sz w:val="24"/>
          <w:szCs w:val="24"/>
        </w:rPr>
        <w:t>We are not citing new values to avoid having them quoted prior to publications that finalize the analysis.</w:t>
      </w:r>
    </w:p>
    <w:p w:rsidR="00C25CA3" w:rsidRPr="00346DA7" w:rsidRDefault="00C25CA3" w:rsidP="00C25CA3">
      <w:pPr>
        <w:pStyle w:val="FootnoteText"/>
        <w:ind w:left="360" w:hanging="360"/>
        <w:rPr>
          <w:sz w:val="24"/>
          <w:szCs w:val="24"/>
        </w:rPr>
      </w:pPr>
    </w:p>
    <w:p w:rsidR="00C25CA3" w:rsidRPr="00346DA7" w:rsidRDefault="00C25CA3" w:rsidP="00C25CA3">
      <w:pPr>
        <w:pStyle w:val="FootnoteText"/>
        <w:ind w:left="360" w:hanging="360"/>
        <w:rPr>
          <w:sz w:val="24"/>
          <w:szCs w:val="24"/>
        </w:rPr>
      </w:pPr>
      <w:r w:rsidRPr="00346DA7">
        <w:rPr>
          <w:rStyle w:val="FootnoteReference"/>
          <w:sz w:val="24"/>
          <w:szCs w:val="24"/>
        </w:rPr>
        <w:t>4</w:t>
      </w:r>
      <w:r w:rsidRPr="00346DA7">
        <w:rPr>
          <w:sz w:val="24"/>
          <w:szCs w:val="24"/>
          <w:vertAlign w:val="superscript"/>
        </w:rPr>
        <w:t>4</w:t>
      </w:r>
      <w:r w:rsidRPr="00346DA7">
        <w:rPr>
          <w:sz w:val="24"/>
          <w:szCs w:val="24"/>
        </w:rPr>
        <w:tab/>
      </w:r>
      <w:r w:rsidRPr="00346DA7">
        <w:rPr>
          <w:sz w:val="24"/>
          <w:szCs w:val="24"/>
        </w:rPr>
        <w:t>Orange Mountain-Talcott Basalt age (via intrusive feeder proxy) minus Hook Mt.-Hampden age (via intrusive proxy) with RMS uncertainty, all from Blackburn et al. (2013).</w:t>
      </w:r>
    </w:p>
    <w:p w:rsidR="00C25CA3" w:rsidRPr="00346DA7" w:rsidRDefault="00C25CA3" w:rsidP="00C25CA3">
      <w:pPr>
        <w:pStyle w:val="FootnoteText"/>
        <w:ind w:left="360" w:hanging="360"/>
        <w:rPr>
          <w:sz w:val="24"/>
          <w:szCs w:val="24"/>
        </w:rPr>
      </w:pPr>
    </w:p>
    <w:p w:rsidR="00C25CA3" w:rsidRPr="00346DA7" w:rsidRDefault="00C25CA3" w:rsidP="00C25CA3">
      <w:pPr>
        <w:pStyle w:val="FootnoteText"/>
        <w:ind w:left="360" w:hanging="360"/>
        <w:rPr>
          <w:sz w:val="24"/>
          <w:szCs w:val="24"/>
        </w:rPr>
      </w:pPr>
      <w:r w:rsidRPr="00346DA7">
        <w:rPr>
          <w:rStyle w:val="FootnoteReference"/>
          <w:sz w:val="24"/>
          <w:szCs w:val="24"/>
        </w:rPr>
        <w:t>4</w:t>
      </w:r>
      <w:r w:rsidRPr="00346DA7">
        <w:rPr>
          <w:sz w:val="24"/>
          <w:szCs w:val="24"/>
          <w:vertAlign w:val="superscript"/>
        </w:rPr>
        <w:t>5</w:t>
      </w:r>
      <w:r w:rsidRPr="00346DA7">
        <w:rPr>
          <w:sz w:val="24"/>
          <w:szCs w:val="24"/>
        </w:rPr>
        <w:tab/>
      </w:r>
      <w:r w:rsidRPr="00346DA7">
        <w:rPr>
          <w:sz w:val="24"/>
          <w:szCs w:val="24"/>
        </w:rPr>
        <w:t>A fourth major pCO</w:t>
      </w:r>
      <w:r w:rsidRPr="00346DA7">
        <w:rPr>
          <w:sz w:val="24"/>
          <w:szCs w:val="24"/>
          <w:vertAlign w:val="subscript"/>
        </w:rPr>
        <w:t>2</w:t>
      </w:r>
      <w:r w:rsidRPr="00346DA7">
        <w:rPr>
          <w:sz w:val="24"/>
          <w:szCs w:val="24"/>
        </w:rPr>
        <w:t xml:space="preserve"> increase occurs in the lower Portland Formation (Schaller et al., 2012) without a CAMP unit of appropriate age known anywhere, although geochronological survey of the CAMP is hardly complete.</w:t>
      </w:r>
    </w:p>
    <w:p w:rsidR="00C25CA3" w:rsidRPr="00346DA7" w:rsidRDefault="00C25CA3" w:rsidP="00C25CA3">
      <w:pPr>
        <w:pStyle w:val="FootnoteText"/>
        <w:ind w:left="360" w:hanging="360"/>
        <w:rPr>
          <w:sz w:val="24"/>
          <w:szCs w:val="24"/>
        </w:rPr>
      </w:pPr>
    </w:p>
    <w:p w:rsidR="00C25CA3" w:rsidRPr="00346DA7" w:rsidRDefault="00C25CA3" w:rsidP="00C25CA3">
      <w:pPr>
        <w:pStyle w:val="FootnoteText"/>
        <w:ind w:left="360" w:hanging="360"/>
        <w:rPr>
          <w:sz w:val="24"/>
          <w:szCs w:val="24"/>
        </w:rPr>
      </w:pPr>
      <w:r w:rsidRPr="00346DA7">
        <w:rPr>
          <w:rStyle w:val="FootnoteReference"/>
          <w:sz w:val="24"/>
          <w:szCs w:val="24"/>
        </w:rPr>
        <w:t>4</w:t>
      </w:r>
      <w:r w:rsidRPr="00346DA7">
        <w:rPr>
          <w:sz w:val="24"/>
          <w:szCs w:val="24"/>
          <w:vertAlign w:val="superscript"/>
        </w:rPr>
        <w:t>6</w:t>
      </w:r>
      <w:r w:rsidRPr="00346DA7">
        <w:rPr>
          <w:sz w:val="24"/>
          <w:szCs w:val="24"/>
        </w:rPr>
        <w:tab/>
      </w:r>
      <w:r w:rsidRPr="00346DA7">
        <w:rPr>
          <w:sz w:val="24"/>
          <w:szCs w:val="24"/>
        </w:rPr>
        <w:t xml:space="preserve">Held and </w:t>
      </w:r>
      <w:proofErr w:type="spellStart"/>
      <w:r w:rsidRPr="00346DA7">
        <w:rPr>
          <w:sz w:val="24"/>
          <w:szCs w:val="24"/>
        </w:rPr>
        <w:t>Soden</w:t>
      </w:r>
      <w:proofErr w:type="spellEnd"/>
      <w:r w:rsidRPr="00346DA7">
        <w:rPr>
          <w:sz w:val="24"/>
          <w:szCs w:val="24"/>
        </w:rPr>
        <w:t xml:space="preserve"> (2006) is cited by many (over 5000 citations in Google Scholar as of 2024!) as introducing the concept (e.g., </w:t>
      </w:r>
      <w:proofErr w:type="spellStart"/>
      <w:r w:rsidRPr="00346DA7">
        <w:rPr>
          <w:sz w:val="24"/>
          <w:szCs w:val="24"/>
        </w:rPr>
        <w:t>Xiong</w:t>
      </w:r>
      <w:proofErr w:type="spellEnd"/>
      <w:r w:rsidRPr="00346DA7">
        <w:rPr>
          <w:sz w:val="24"/>
          <w:szCs w:val="24"/>
        </w:rPr>
        <w:t xml:space="preserve"> et al, 2022), though they do not use that specific acronym. </w:t>
      </w:r>
    </w:p>
    <w:p w:rsidR="00C25CA3" w:rsidRPr="00346DA7" w:rsidRDefault="00C25CA3" w:rsidP="00C25CA3">
      <w:pPr>
        <w:pStyle w:val="FootnoteText"/>
        <w:ind w:left="360" w:hanging="360"/>
        <w:rPr>
          <w:sz w:val="24"/>
          <w:szCs w:val="24"/>
        </w:rPr>
      </w:pPr>
    </w:p>
    <w:p w:rsidR="00973B8F" w:rsidRPr="00346DA7" w:rsidRDefault="00C25CA3" w:rsidP="00973B8F">
      <w:pPr>
        <w:pStyle w:val="FootnoteText"/>
        <w:ind w:left="360" w:hanging="360"/>
        <w:rPr>
          <w:sz w:val="24"/>
          <w:szCs w:val="24"/>
        </w:rPr>
      </w:pPr>
      <w:r w:rsidRPr="00346DA7">
        <w:rPr>
          <w:rStyle w:val="FootnoteReference"/>
          <w:sz w:val="24"/>
          <w:szCs w:val="24"/>
        </w:rPr>
        <w:t>4</w:t>
      </w:r>
      <w:r w:rsidRPr="00346DA7">
        <w:rPr>
          <w:sz w:val="24"/>
          <w:szCs w:val="24"/>
          <w:vertAlign w:val="superscript"/>
        </w:rPr>
        <w:t>7</w:t>
      </w:r>
      <w:r w:rsidRPr="00346DA7">
        <w:rPr>
          <w:sz w:val="24"/>
          <w:szCs w:val="24"/>
        </w:rPr>
        <w:tab/>
      </w:r>
      <w:r w:rsidRPr="00346DA7">
        <w:rPr>
          <w:sz w:val="24"/>
          <w:szCs w:val="24"/>
        </w:rPr>
        <w:t xml:space="preserve">However, it is clear that at a </w:t>
      </w:r>
      <w:r w:rsidRPr="00346DA7">
        <w:rPr>
          <w:sz w:val="24"/>
          <w:szCs w:val="24"/>
        </w:rPr>
        <w:t>more</w:t>
      </w:r>
      <w:r w:rsidRPr="00346DA7">
        <w:rPr>
          <w:sz w:val="24"/>
          <w:szCs w:val="24"/>
        </w:rPr>
        <w:t xml:space="preserve"> granular level, different versions of how “wet” and “dry” are defined leading to very different evaluations of the concept, and observations can be contradictory to the concept (e.g., </w:t>
      </w:r>
      <w:proofErr w:type="spellStart"/>
      <w:r w:rsidRPr="00346DA7">
        <w:rPr>
          <w:sz w:val="24"/>
          <w:szCs w:val="24"/>
        </w:rPr>
        <w:t>Xiong</w:t>
      </w:r>
      <w:proofErr w:type="spellEnd"/>
      <w:r w:rsidRPr="00346DA7">
        <w:rPr>
          <w:sz w:val="24"/>
          <w:szCs w:val="24"/>
        </w:rPr>
        <w:t xml:space="preserve"> et al, 2022).</w:t>
      </w:r>
    </w:p>
    <w:p w:rsidR="00973B8F" w:rsidRPr="00346DA7" w:rsidRDefault="00973B8F" w:rsidP="00973B8F">
      <w:pPr>
        <w:pStyle w:val="FootnoteText"/>
        <w:ind w:left="360" w:hanging="360"/>
        <w:rPr>
          <w:sz w:val="24"/>
          <w:szCs w:val="24"/>
        </w:rPr>
      </w:pPr>
    </w:p>
    <w:p w:rsidR="00973B8F" w:rsidRPr="00346DA7" w:rsidRDefault="00973B8F" w:rsidP="00973B8F">
      <w:pPr>
        <w:pStyle w:val="FootnoteText"/>
        <w:ind w:left="360" w:hanging="360"/>
        <w:rPr>
          <w:sz w:val="24"/>
          <w:szCs w:val="24"/>
        </w:rPr>
      </w:pPr>
      <w:r w:rsidRPr="00346DA7">
        <w:rPr>
          <w:rStyle w:val="FootnoteReference"/>
          <w:sz w:val="24"/>
          <w:szCs w:val="24"/>
        </w:rPr>
        <w:t>4</w:t>
      </w:r>
      <w:r w:rsidRPr="00346DA7">
        <w:rPr>
          <w:sz w:val="24"/>
          <w:szCs w:val="24"/>
          <w:vertAlign w:val="superscript"/>
        </w:rPr>
        <w:t>8</w:t>
      </w:r>
      <w:r w:rsidR="00FA33A8" w:rsidRPr="00346DA7">
        <w:rPr>
          <w:sz w:val="24"/>
          <w:szCs w:val="24"/>
        </w:rPr>
        <w:tab/>
      </w:r>
      <w:r w:rsidRPr="00346DA7">
        <w:rPr>
          <w:sz w:val="24"/>
          <w:szCs w:val="24"/>
        </w:rPr>
        <w:t>The practice of binning fossils and assemblages into the dual hierarchy of geochronologic ages based on chronostratigraphic stages or stages themselves leads to a false sense of understanding. The ages/stages</w:t>
      </w:r>
      <w:r w:rsidRPr="00346DA7">
        <w:rPr>
          <w:sz w:val="24"/>
          <w:szCs w:val="24"/>
        </w:rPr>
        <w:t xml:space="preserve"> </w:t>
      </w:r>
      <w:r w:rsidRPr="00346DA7">
        <w:rPr>
          <w:sz w:val="24"/>
          <w:szCs w:val="24"/>
        </w:rPr>
        <w:t>for the Triassic-Jurassic are based on local marine sections which may or may not have formally defined boundaries and which, in the case of the Late Triassic-Early Jurassic, lack any geochronology. If restricted to biostratigraphy</w:t>
      </w:r>
      <w:r w:rsidRPr="00346DA7">
        <w:rPr>
          <w:sz w:val="24"/>
          <w:szCs w:val="24"/>
        </w:rPr>
        <w:t xml:space="preserve">, the </w:t>
      </w:r>
      <w:r w:rsidRPr="00346DA7">
        <w:rPr>
          <w:sz w:val="24"/>
          <w:szCs w:val="24"/>
        </w:rPr>
        <w:t xml:space="preserve">process requires a web of inferences. This archaic system is supposedly more objective the chronostratigraphic designations of stages, series and systems which map in the dual system </w:t>
      </w:r>
      <w:r w:rsidRPr="00346DA7">
        <w:rPr>
          <w:sz w:val="24"/>
          <w:szCs w:val="24"/>
        </w:rPr>
        <w:lastRenderedPageBreak/>
        <w:t xml:space="preserve">to ages, epochs, and periods. The chronostratigraphic designations then use spatial modifiers such as upper and lower. Thus, we have the Upper Triassic of the Hartford Basin. But the only reason these rocks would be termed Upper Triassic, is because they have been correlated to the Upper Triassic series of Europe via a web of inferences which have a time connotation. Thus, the term Upper Triassic is completely redundant with the geochronologic term Late Triassic Epoch. If used in a more spatial context without the redundancy then </w:t>
      </w:r>
      <w:proofErr w:type="gramStart"/>
      <w:r w:rsidRPr="00346DA7">
        <w:rPr>
          <w:sz w:val="24"/>
          <w:szCs w:val="24"/>
        </w:rPr>
        <w:t>a</w:t>
      </w:r>
      <w:proofErr w:type="gramEnd"/>
      <w:r w:rsidRPr="00346DA7">
        <w:rPr>
          <w:sz w:val="24"/>
          <w:szCs w:val="24"/>
        </w:rPr>
        <w:t xml:space="preserve"> unfortunate nomenclatural mess results. For example, what else could Upper Triassic in Connecticut refer to other than the upper New Haven Formation and lower Shuttle meadow Formations. The Middle, and Lower Triassic of Connecticut would then map to the middle, and lower New Haven Formation which ridiculous. To do otherwise, requires we correlate the New Haven via time-relevant criteria to Europe, and there is the redundancy again. In any case we still have to use time-relevant criteria to say it the Connecticut sequence is Triassic in the first place. We will use the geochronologic hierarchy of age, epoch, and period. But even using the standard geochronologic age bins, such as Norian Age and Rhaetian Age in the absence of matching radiometric, </w:t>
      </w:r>
      <w:proofErr w:type="spellStart"/>
      <w:r w:rsidRPr="00346DA7">
        <w:rPr>
          <w:sz w:val="24"/>
          <w:szCs w:val="24"/>
        </w:rPr>
        <w:t>astrochronological</w:t>
      </w:r>
      <w:proofErr w:type="spellEnd"/>
      <w:r w:rsidRPr="00346DA7">
        <w:rPr>
          <w:sz w:val="24"/>
          <w:szCs w:val="24"/>
        </w:rPr>
        <w:t xml:space="preserve">, or paleomagnetic polarity data still requires the web of inferential to go from continental strata in tropical to the European marine type areas in the mid-latitudes. As a consequence, the age/stage level bins for the fossils can approach meaninglessness. But to talk about mass extinctions at any other than a local level, we have to bin and the existing framework is the geochronologic ages / chronostratigraphic stages framework. </w:t>
      </w:r>
      <w:r w:rsidRPr="00346DA7">
        <w:rPr>
          <w:i/>
          <w:iCs/>
          <w:sz w:val="24"/>
          <w:szCs w:val="24"/>
        </w:rPr>
        <w:t>Caveat emptor</w:t>
      </w:r>
      <w:r w:rsidRPr="00346DA7">
        <w:rPr>
          <w:sz w:val="24"/>
          <w:szCs w:val="24"/>
        </w:rPr>
        <w:t>.</w:t>
      </w:r>
    </w:p>
    <w:p w:rsidR="00973B8F" w:rsidRPr="00346DA7" w:rsidRDefault="00973B8F" w:rsidP="00973B8F">
      <w:pPr>
        <w:pStyle w:val="FootnoteText"/>
        <w:ind w:left="360" w:hanging="360"/>
        <w:rPr>
          <w:sz w:val="24"/>
          <w:szCs w:val="24"/>
        </w:rPr>
      </w:pPr>
    </w:p>
    <w:p w:rsidR="00973B8F" w:rsidRPr="00346DA7" w:rsidRDefault="00973B8F" w:rsidP="00973B8F">
      <w:pPr>
        <w:pStyle w:val="FootnoteText"/>
        <w:ind w:left="360" w:hanging="360"/>
        <w:rPr>
          <w:sz w:val="24"/>
          <w:szCs w:val="24"/>
        </w:rPr>
      </w:pPr>
      <w:r w:rsidRPr="00346DA7">
        <w:rPr>
          <w:rStyle w:val="FootnoteReference"/>
          <w:sz w:val="24"/>
          <w:szCs w:val="24"/>
        </w:rPr>
        <w:t>4</w:t>
      </w:r>
      <w:r w:rsidRPr="00346DA7">
        <w:rPr>
          <w:sz w:val="24"/>
          <w:szCs w:val="24"/>
          <w:vertAlign w:val="superscript"/>
        </w:rPr>
        <w:t>9</w:t>
      </w:r>
      <w:r w:rsidRPr="00346DA7">
        <w:rPr>
          <w:sz w:val="24"/>
          <w:szCs w:val="24"/>
        </w:rPr>
        <w:tab/>
      </w:r>
      <w:r w:rsidRPr="00346DA7">
        <w:rPr>
          <w:rFonts w:cstheme="minorHAnsi"/>
          <w:sz w:val="24"/>
          <w:szCs w:val="24"/>
        </w:rPr>
        <w:t>These exacerbate major biases: 1) the Signor-</w:t>
      </w:r>
      <w:proofErr w:type="spellStart"/>
      <w:r w:rsidRPr="00346DA7">
        <w:rPr>
          <w:rFonts w:cstheme="minorHAnsi"/>
          <w:sz w:val="24"/>
          <w:szCs w:val="24"/>
        </w:rPr>
        <w:t>Lipps</w:t>
      </w:r>
      <w:proofErr w:type="spellEnd"/>
      <w:r w:rsidRPr="00346DA7">
        <w:rPr>
          <w:rFonts w:cstheme="minorHAnsi"/>
          <w:sz w:val="24"/>
          <w:szCs w:val="24"/>
        </w:rPr>
        <w:t xml:space="preserve"> effect (Signor and </w:t>
      </w:r>
      <w:proofErr w:type="spellStart"/>
      <w:r w:rsidRPr="00346DA7">
        <w:rPr>
          <w:rFonts w:cstheme="minorHAnsi"/>
          <w:sz w:val="24"/>
          <w:szCs w:val="24"/>
        </w:rPr>
        <w:t>Lipps</w:t>
      </w:r>
      <w:proofErr w:type="spellEnd"/>
      <w:r w:rsidRPr="00346DA7">
        <w:rPr>
          <w:rFonts w:cstheme="minorHAnsi"/>
          <w:sz w:val="24"/>
          <w:szCs w:val="24"/>
        </w:rPr>
        <w:t>, 1982) which is a sampling bias toward an event level that inevitably makes what might be an abrupt extinction of many forms look like a gradual, stepped extinction; and 2) the “compiled correlation effect” (CCE) of Lucas (Lucas, 1994) which has the opposite effect, in which binning of ranges into time intervals to allow regional or global analyses amplifies the magnitude of extinctions (or originations) at the bin boundaries. Specifically, the Signor-</w:t>
      </w:r>
      <w:proofErr w:type="spellStart"/>
      <w:r w:rsidRPr="00346DA7">
        <w:rPr>
          <w:rFonts w:cstheme="minorHAnsi"/>
          <w:sz w:val="24"/>
          <w:szCs w:val="24"/>
        </w:rPr>
        <w:t>Lipps</w:t>
      </w:r>
      <w:proofErr w:type="spellEnd"/>
      <w:r w:rsidRPr="00346DA7">
        <w:rPr>
          <w:rFonts w:cstheme="minorHAnsi"/>
          <w:sz w:val="24"/>
          <w:szCs w:val="24"/>
        </w:rPr>
        <w:t xml:space="preserve"> effect makes analysis of biotic change through single sections that might have a very well-defined geochronology of dates, orbitally cycles, problematic because the sampling rate is necessarily low and the CCE is extremely problematic when many sections are compiled with variable resolution and fossil occurrences is are placed in the wrong temporal bin.</w:t>
      </w:r>
    </w:p>
    <w:p w:rsidR="00973B8F" w:rsidRPr="00346DA7" w:rsidRDefault="00973B8F" w:rsidP="00973B8F">
      <w:pPr>
        <w:pStyle w:val="FootnoteText"/>
        <w:ind w:left="360" w:hanging="360"/>
        <w:rPr>
          <w:sz w:val="24"/>
          <w:szCs w:val="24"/>
        </w:rPr>
      </w:pPr>
    </w:p>
    <w:p w:rsidR="00973B8F" w:rsidRPr="00346DA7" w:rsidRDefault="00973B8F" w:rsidP="00973B8F">
      <w:pPr>
        <w:pStyle w:val="FootnoteText"/>
        <w:ind w:left="360" w:hanging="360"/>
        <w:rPr>
          <w:sz w:val="24"/>
          <w:szCs w:val="24"/>
        </w:rPr>
      </w:pPr>
      <w:r w:rsidRPr="00346DA7">
        <w:rPr>
          <w:rStyle w:val="FootnoteReference"/>
          <w:sz w:val="24"/>
          <w:szCs w:val="24"/>
        </w:rPr>
        <w:t>5</w:t>
      </w:r>
      <w:r w:rsidRPr="00346DA7">
        <w:rPr>
          <w:sz w:val="24"/>
          <w:szCs w:val="24"/>
          <w:vertAlign w:val="superscript"/>
        </w:rPr>
        <w:t>0</w:t>
      </w:r>
      <w:r w:rsidRPr="00346DA7">
        <w:rPr>
          <w:sz w:val="24"/>
          <w:szCs w:val="24"/>
        </w:rPr>
        <w:tab/>
      </w:r>
      <w:r w:rsidRPr="00346DA7">
        <w:rPr>
          <w:sz w:val="24"/>
          <w:szCs w:val="24"/>
        </w:rPr>
        <w:t>As this guidebook is about the Connecticut ETE, which is entirely continental we will not review Triassic or Jurassic marine life in any detail, but will comment on it when discussing the role of the CAMP. Readers are referred to (</w:t>
      </w:r>
      <w:proofErr w:type="spellStart"/>
      <w:r w:rsidRPr="00346DA7">
        <w:rPr>
          <w:sz w:val="24"/>
          <w:szCs w:val="24"/>
        </w:rPr>
        <w:t>Schoepfer</w:t>
      </w:r>
      <w:proofErr w:type="spellEnd"/>
      <w:r w:rsidRPr="00346DA7">
        <w:rPr>
          <w:sz w:val="24"/>
          <w:szCs w:val="24"/>
        </w:rPr>
        <w:t xml:space="preserve"> et al, </w:t>
      </w:r>
      <w:proofErr w:type="gramStart"/>
      <w:r w:rsidRPr="00346DA7">
        <w:rPr>
          <w:sz w:val="24"/>
          <w:szCs w:val="24"/>
        </w:rPr>
        <w:t>2022)(</w:t>
      </w:r>
      <w:proofErr w:type="gramEnd"/>
      <w:r w:rsidRPr="00346DA7">
        <w:rPr>
          <w:sz w:val="24"/>
          <w:szCs w:val="24"/>
        </w:rPr>
        <w:t>Benton and Wu, 2022)(Hesselbo et al., 2020) for reviews.</w:t>
      </w:r>
    </w:p>
    <w:p w:rsidR="00973B8F" w:rsidRPr="00346DA7" w:rsidRDefault="00973B8F" w:rsidP="00973B8F">
      <w:pPr>
        <w:pStyle w:val="FootnoteText"/>
        <w:ind w:left="360" w:hanging="360"/>
        <w:rPr>
          <w:sz w:val="24"/>
          <w:szCs w:val="24"/>
        </w:rPr>
      </w:pPr>
    </w:p>
    <w:p w:rsidR="009A1547" w:rsidRPr="00346DA7" w:rsidRDefault="00973B8F" w:rsidP="009A1547">
      <w:pPr>
        <w:pStyle w:val="FootnoteText"/>
        <w:ind w:left="360" w:hanging="360"/>
        <w:rPr>
          <w:sz w:val="24"/>
          <w:szCs w:val="24"/>
        </w:rPr>
      </w:pPr>
      <w:r w:rsidRPr="00346DA7">
        <w:rPr>
          <w:rStyle w:val="FootnoteReference"/>
          <w:sz w:val="24"/>
          <w:szCs w:val="24"/>
        </w:rPr>
        <w:t>5</w:t>
      </w:r>
      <w:r w:rsidRPr="00346DA7">
        <w:rPr>
          <w:sz w:val="24"/>
          <w:szCs w:val="24"/>
          <w:vertAlign w:val="superscript"/>
        </w:rPr>
        <w:t>1</w:t>
      </w:r>
      <w:r w:rsidRPr="00346DA7">
        <w:rPr>
          <w:sz w:val="24"/>
          <w:szCs w:val="24"/>
        </w:rPr>
        <w:tab/>
      </w:r>
      <w:proofErr w:type="spellStart"/>
      <w:r w:rsidRPr="00346DA7">
        <w:rPr>
          <w:sz w:val="24"/>
          <w:szCs w:val="24"/>
        </w:rPr>
        <w:t>Sphenodontian</w:t>
      </w:r>
      <w:proofErr w:type="spellEnd"/>
      <w:r w:rsidRPr="00346DA7">
        <w:rPr>
          <w:sz w:val="24"/>
          <w:szCs w:val="24"/>
        </w:rPr>
        <w:t xml:space="preserve"> rhynchocephalians are a group of once diverse and globally distributed lizard relatives that are now represented only by the single species, the tuatara (</w:t>
      </w:r>
      <w:r w:rsidRPr="00346DA7">
        <w:rPr>
          <w:i/>
          <w:iCs/>
          <w:sz w:val="24"/>
          <w:szCs w:val="24"/>
        </w:rPr>
        <w:t>Sphenodon punctatus</w:t>
      </w:r>
      <w:r w:rsidRPr="00346DA7">
        <w:rPr>
          <w:sz w:val="24"/>
          <w:szCs w:val="24"/>
        </w:rPr>
        <w:t xml:space="preserve">) of New Zealand. </w:t>
      </w:r>
      <w:proofErr w:type="spellStart"/>
      <w:r w:rsidRPr="00346DA7">
        <w:rPr>
          <w:sz w:val="24"/>
          <w:szCs w:val="24"/>
        </w:rPr>
        <w:t>Sphenodontians</w:t>
      </w:r>
      <w:proofErr w:type="spellEnd"/>
      <w:r w:rsidRPr="00346DA7">
        <w:rPr>
          <w:sz w:val="24"/>
          <w:szCs w:val="24"/>
        </w:rPr>
        <w:t xml:space="preserve"> were the most common small reptiles of the Late Triassic and Early Jurassic.</w:t>
      </w:r>
    </w:p>
    <w:p w:rsidR="009A1547" w:rsidRPr="00346DA7" w:rsidRDefault="009A1547" w:rsidP="009A1547">
      <w:pPr>
        <w:pStyle w:val="FootnoteText"/>
        <w:ind w:left="360" w:hanging="360"/>
        <w:rPr>
          <w:sz w:val="24"/>
          <w:szCs w:val="24"/>
        </w:rPr>
      </w:pPr>
    </w:p>
    <w:p w:rsidR="009A1547" w:rsidRPr="00346DA7" w:rsidRDefault="009A1547" w:rsidP="009A1547">
      <w:pPr>
        <w:pStyle w:val="FootnoteText"/>
        <w:ind w:left="360" w:hanging="360"/>
        <w:rPr>
          <w:sz w:val="24"/>
          <w:szCs w:val="24"/>
        </w:rPr>
      </w:pPr>
      <w:r w:rsidRPr="00346DA7">
        <w:rPr>
          <w:rStyle w:val="FootnoteReference"/>
          <w:sz w:val="24"/>
          <w:szCs w:val="24"/>
        </w:rPr>
        <w:t>5</w:t>
      </w:r>
      <w:r w:rsidRPr="00346DA7">
        <w:rPr>
          <w:sz w:val="24"/>
          <w:szCs w:val="24"/>
          <w:vertAlign w:val="superscript"/>
        </w:rPr>
        <w:t>2</w:t>
      </w:r>
      <w:r w:rsidRPr="00346DA7">
        <w:rPr>
          <w:sz w:val="24"/>
          <w:szCs w:val="24"/>
        </w:rPr>
        <w:tab/>
      </w:r>
      <w:r w:rsidRPr="00346DA7">
        <w:rPr>
          <w:sz w:val="24"/>
          <w:szCs w:val="24"/>
        </w:rPr>
        <w:t xml:space="preserve">Reptiles are here synonymous with the </w:t>
      </w:r>
      <w:proofErr w:type="spellStart"/>
      <w:r w:rsidRPr="00346DA7">
        <w:rPr>
          <w:sz w:val="24"/>
          <w:szCs w:val="24"/>
        </w:rPr>
        <w:t>Sauropsida</w:t>
      </w:r>
      <w:proofErr w:type="spellEnd"/>
      <w:r w:rsidRPr="00346DA7">
        <w:rPr>
          <w:sz w:val="24"/>
          <w:szCs w:val="24"/>
        </w:rPr>
        <w:t xml:space="preserve"> which include all living and fossil amniotes (animals with an amniotic egg including us and birds) more closely related to modern reptiles than to mammals. Living </w:t>
      </w:r>
      <w:proofErr w:type="spellStart"/>
      <w:r w:rsidRPr="00346DA7">
        <w:rPr>
          <w:sz w:val="24"/>
          <w:szCs w:val="24"/>
        </w:rPr>
        <w:t>sauropsids</w:t>
      </w:r>
      <w:proofErr w:type="spellEnd"/>
      <w:r w:rsidRPr="00346DA7">
        <w:rPr>
          <w:sz w:val="24"/>
          <w:szCs w:val="24"/>
        </w:rPr>
        <w:t xml:space="preserve"> includes birds, crocodilians, lizards, snakes and </w:t>
      </w:r>
      <w:proofErr w:type="spellStart"/>
      <w:r w:rsidRPr="00346DA7">
        <w:rPr>
          <w:sz w:val="24"/>
          <w:szCs w:val="24"/>
        </w:rPr>
        <w:t>sphenodontians</w:t>
      </w:r>
      <w:proofErr w:type="spellEnd"/>
      <w:r w:rsidRPr="00346DA7">
        <w:rPr>
          <w:sz w:val="24"/>
          <w:szCs w:val="24"/>
        </w:rPr>
        <w:t>, and turtles.</w:t>
      </w:r>
    </w:p>
    <w:p w:rsidR="009A1547" w:rsidRPr="00346DA7" w:rsidRDefault="009A1547" w:rsidP="009A1547">
      <w:pPr>
        <w:pStyle w:val="FootnoteText"/>
        <w:ind w:left="360" w:hanging="360"/>
        <w:rPr>
          <w:sz w:val="24"/>
          <w:szCs w:val="24"/>
        </w:rPr>
      </w:pPr>
    </w:p>
    <w:p w:rsidR="009A1547" w:rsidRPr="00346DA7" w:rsidRDefault="009A1547" w:rsidP="009A1547">
      <w:pPr>
        <w:pStyle w:val="FootnoteText"/>
        <w:ind w:left="360" w:hanging="360"/>
        <w:rPr>
          <w:sz w:val="24"/>
          <w:szCs w:val="24"/>
        </w:rPr>
      </w:pPr>
      <w:r w:rsidRPr="00346DA7">
        <w:rPr>
          <w:rStyle w:val="FootnoteReference"/>
          <w:sz w:val="24"/>
          <w:szCs w:val="24"/>
        </w:rPr>
        <w:t>5</w:t>
      </w:r>
      <w:r w:rsidRPr="00346DA7">
        <w:rPr>
          <w:sz w:val="24"/>
          <w:szCs w:val="24"/>
          <w:vertAlign w:val="superscript"/>
        </w:rPr>
        <w:t>3</w:t>
      </w:r>
      <w:r w:rsidRPr="00346DA7">
        <w:rPr>
          <w:sz w:val="24"/>
          <w:szCs w:val="24"/>
        </w:rPr>
        <w:tab/>
      </w:r>
      <w:r w:rsidRPr="00346DA7">
        <w:rPr>
          <w:sz w:val="24"/>
          <w:szCs w:val="24"/>
        </w:rPr>
        <w:t xml:space="preserve">The herbivorous forms include the aetosaurs and the </w:t>
      </w:r>
      <w:proofErr w:type="spellStart"/>
      <w:r w:rsidRPr="00346DA7">
        <w:rPr>
          <w:sz w:val="24"/>
          <w:szCs w:val="24"/>
        </w:rPr>
        <w:t>reveltosaurs</w:t>
      </w:r>
      <w:proofErr w:type="spellEnd"/>
      <w:r w:rsidRPr="00346DA7">
        <w:rPr>
          <w:sz w:val="24"/>
          <w:szCs w:val="24"/>
        </w:rPr>
        <w:t xml:space="preserve">, both groups being armored., as well as the </w:t>
      </w:r>
      <w:proofErr w:type="spellStart"/>
      <w:r w:rsidRPr="00346DA7">
        <w:rPr>
          <w:sz w:val="24"/>
          <w:szCs w:val="24"/>
        </w:rPr>
        <w:t>poposaurids</w:t>
      </w:r>
      <w:proofErr w:type="spellEnd"/>
      <w:r w:rsidRPr="00346DA7">
        <w:rPr>
          <w:sz w:val="24"/>
          <w:szCs w:val="24"/>
        </w:rPr>
        <w:t xml:space="preserve">, some of which became bipedal and toothless, such as </w:t>
      </w:r>
      <w:proofErr w:type="spellStart"/>
      <w:r w:rsidRPr="00346DA7">
        <w:rPr>
          <w:i/>
          <w:iCs/>
          <w:sz w:val="24"/>
          <w:szCs w:val="24"/>
        </w:rPr>
        <w:t>Effigia</w:t>
      </w:r>
      <w:proofErr w:type="spellEnd"/>
      <w:r w:rsidRPr="00346DA7">
        <w:rPr>
          <w:i/>
          <w:iCs/>
          <w:sz w:val="24"/>
          <w:szCs w:val="24"/>
        </w:rPr>
        <w:t xml:space="preserve"> </w:t>
      </w:r>
      <w:proofErr w:type="spellStart"/>
      <w:r w:rsidRPr="00346DA7">
        <w:rPr>
          <w:i/>
          <w:iCs/>
          <w:sz w:val="24"/>
          <w:szCs w:val="24"/>
        </w:rPr>
        <w:t>okeefeae</w:t>
      </w:r>
      <w:proofErr w:type="spellEnd"/>
      <w:r w:rsidRPr="00346DA7">
        <w:rPr>
          <w:sz w:val="24"/>
          <w:szCs w:val="24"/>
        </w:rPr>
        <w:t>. Unfortunately, we do not know if these groups made into the Rhaetian, not to mention to the ETE, but there are some good contenders, at least for the aetosaurs.</w:t>
      </w:r>
    </w:p>
    <w:p w:rsidR="009A1547" w:rsidRPr="00346DA7" w:rsidRDefault="009A1547" w:rsidP="009A1547">
      <w:pPr>
        <w:pStyle w:val="FootnoteText"/>
        <w:ind w:left="360" w:hanging="360"/>
        <w:rPr>
          <w:sz w:val="24"/>
          <w:szCs w:val="24"/>
        </w:rPr>
      </w:pPr>
    </w:p>
    <w:p w:rsidR="009A1547" w:rsidRPr="00346DA7" w:rsidRDefault="009A1547" w:rsidP="009A1547">
      <w:pPr>
        <w:pStyle w:val="FootnoteText"/>
        <w:ind w:left="360" w:hanging="360"/>
        <w:rPr>
          <w:sz w:val="24"/>
          <w:szCs w:val="24"/>
        </w:rPr>
      </w:pPr>
      <w:r w:rsidRPr="00346DA7">
        <w:rPr>
          <w:rStyle w:val="FootnoteReference"/>
          <w:sz w:val="24"/>
          <w:szCs w:val="24"/>
        </w:rPr>
        <w:t>5</w:t>
      </w:r>
      <w:r w:rsidRPr="00346DA7">
        <w:rPr>
          <w:sz w:val="24"/>
          <w:szCs w:val="24"/>
          <w:vertAlign w:val="superscript"/>
        </w:rPr>
        <w:t>4</w:t>
      </w:r>
      <w:r w:rsidRPr="00346DA7">
        <w:rPr>
          <w:sz w:val="24"/>
          <w:szCs w:val="24"/>
        </w:rPr>
        <w:tab/>
      </w:r>
      <w:r w:rsidRPr="00346DA7">
        <w:rPr>
          <w:sz w:val="24"/>
          <w:szCs w:val="24"/>
        </w:rPr>
        <w:t xml:space="preserve">Of the smaller forms, procolophonids, </w:t>
      </w:r>
      <w:proofErr w:type="spellStart"/>
      <w:r w:rsidRPr="00346DA7">
        <w:rPr>
          <w:sz w:val="24"/>
          <w:szCs w:val="24"/>
        </w:rPr>
        <w:t>tanystropheids</w:t>
      </w:r>
      <w:proofErr w:type="spellEnd"/>
      <w:r w:rsidRPr="00346DA7">
        <w:rPr>
          <w:sz w:val="24"/>
          <w:szCs w:val="24"/>
        </w:rPr>
        <w:t xml:space="preserve"> (based on footprints), and </w:t>
      </w:r>
      <w:proofErr w:type="spellStart"/>
      <w:r w:rsidRPr="00346DA7">
        <w:rPr>
          <w:sz w:val="24"/>
          <w:szCs w:val="24"/>
        </w:rPr>
        <w:t>drepanosaurs</w:t>
      </w:r>
      <w:proofErr w:type="spellEnd"/>
      <w:r w:rsidRPr="00346DA7">
        <w:rPr>
          <w:sz w:val="24"/>
          <w:szCs w:val="24"/>
        </w:rPr>
        <w:t>, definitely get into the Rhaetian.</w:t>
      </w:r>
    </w:p>
    <w:p w:rsidR="009A1547" w:rsidRPr="00346DA7" w:rsidRDefault="009A1547" w:rsidP="009A1547">
      <w:pPr>
        <w:pStyle w:val="FootnoteText"/>
        <w:ind w:left="360" w:hanging="360"/>
        <w:rPr>
          <w:sz w:val="24"/>
          <w:szCs w:val="24"/>
        </w:rPr>
      </w:pPr>
    </w:p>
    <w:p w:rsidR="005C37D6" w:rsidRPr="00346DA7" w:rsidRDefault="009A1547" w:rsidP="005C37D6">
      <w:pPr>
        <w:pStyle w:val="FootnoteText"/>
        <w:ind w:left="360" w:hanging="360"/>
        <w:rPr>
          <w:sz w:val="24"/>
          <w:szCs w:val="24"/>
        </w:rPr>
      </w:pPr>
      <w:r w:rsidRPr="00346DA7">
        <w:rPr>
          <w:rStyle w:val="FootnoteReference"/>
          <w:sz w:val="24"/>
          <w:szCs w:val="24"/>
        </w:rPr>
        <w:t>5</w:t>
      </w:r>
      <w:r w:rsidRPr="00346DA7">
        <w:rPr>
          <w:sz w:val="24"/>
          <w:szCs w:val="24"/>
          <w:vertAlign w:val="superscript"/>
        </w:rPr>
        <w:t>5</w:t>
      </w:r>
      <w:r w:rsidRPr="00346DA7">
        <w:rPr>
          <w:sz w:val="24"/>
          <w:szCs w:val="24"/>
        </w:rPr>
        <w:tab/>
      </w:r>
      <w:r w:rsidRPr="00346DA7">
        <w:rPr>
          <w:sz w:val="24"/>
          <w:szCs w:val="24"/>
        </w:rPr>
        <w:t xml:space="preserve">Dinosaurs, including birds, are reptiles with the important characteristic of having an open acetabulum, which means that the inner wall of the hip socket is open and without bone. </w:t>
      </w:r>
      <w:proofErr w:type="spellStart"/>
      <w:r w:rsidRPr="00346DA7">
        <w:rPr>
          <w:sz w:val="24"/>
          <w:szCs w:val="24"/>
        </w:rPr>
        <w:t>Dinosauromorphs</w:t>
      </w:r>
      <w:proofErr w:type="spellEnd"/>
      <w:r w:rsidRPr="00346DA7">
        <w:rPr>
          <w:sz w:val="24"/>
          <w:szCs w:val="24"/>
        </w:rPr>
        <w:t xml:space="preserve"> are a larger group including forms very similar to dinosaurs such as pterosaurs, </w:t>
      </w:r>
      <w:proofErr w:type="spellStart"/>
      <w:r w:rsidRPr="00346DA7">
        <w:rPr>
          <w:sz w:val="24"/>
          <w:szCs w:val="24"/>
        </w:rPr>
        <w:t>lagerpetidids</w:t>
      </w:r>
      <w:proofErr w:type="spellEnd"/>
      <w:r w:rsidRPr="00346DA7">
        <w:rPr>
          <w:sz w:val="24"/>
          <w:szCs w:val="24"/>
        </w:rPr>
        <w:t xml:space="preserve">, </w:t>
      </w:r>
      <w:proofErr w:type="spellStart"/>
      <w:r w:rsidRPr="00346DA7">
        <w:rPr>
          <w:sz w:val="24"/>
          <w:szCs w:val="24"/>
        </w:rPr>
        <w:t>lagosuchids</w:t>
      </w:r>
      <w:proofErr w:type="spellEnd"/>
      <w:r w:rsidRPr="00346DA7">
        <w:rPr>
          <w:sz w:val="24"/>
          <w:szCs w:val="24"/>
        </w:rPr>
        <w:t xml:space="preserve">, and </w:t>
      </w:r>
      <w:proofErr w:type="spellStart"/>
      <w:r w:rsidRPr="00346DA7">
        <w:rPr>
          <w:sz w:val="24"/>
          <w:szCs w:val="24"/>
        </w:rPr>
        <w:t>silesaurs</w:t>
      </w:r>
      <w:proofErr w:type="spellEnd"/>
      <w:r w:rsidRPr="00346DA7">
        <w:rPr>
          <w:sz w:val="24"/>
          <w:szCs w:val="24"/>
        </w:rPr>
        <w:t xml:space="preserve">, but these lack the open acetabulum. Relationship or groups within the </w:t>
      </w:r>
      <w:proofErr w:type="spellStart"/>
      <w:r w:rsidRPr="00346DA7">
        <w:rPr>
          <w:sz w:val="24"/>
          <w:szCs w:val="24"/>
        </w:rPr>
        <w:t>Dinosauromorpha</w:t>
      </w:r>
      <w:proofErr w:type="spellEnd"/>
      <w:r w:rsidRPr="00346DA7">
        <w:rPr>
          <w:sz w:val="24"/>
          <w:szCs w:val="24"/>
        </w:rPr>
        <w:t xml:space="preserve"> is poorly understood and evolving fast.</w:t>
      </w:r>
    </w:p>
    <w:p w:rsidR="005C37D6" w:rsidRPr="00346DA7" w:rsidRDefault="005C37D6" w:rsidP="005C37D6">
      <w:pPr>
        <w:pStyle w:val="FootnoteText"/>
        <w:ind w:left="360" w:hanging="360"/>
        <w:rPr>
          <w:sz w:val="24"/>
          <w:szCs w:val="24"/>
        </w:rPr>
      </w:pPr>
    </w:p>
    <w:p w:rsidR="005C37D6" w:rsidRPr="00346DA7" w:rsidRDefault="005C37D6" w:rsidP="005C37D6">
      <w:pPr>
        <w:pStyle w:val="FootnoteText"/>
        <w:ind w:left="360" w:hanging="360"/>
        <w:rPr>
          <w:sz w:val="24"/>
          <w:szCs w:val="24"/>
        </w:rPr>
      </w:pPr>
      <w:r w:rsidRPr="00346DA7">
        <w:rPr>
          <w:rStyle w:val="FootnoteReference"/>
          <w:sz w:val="24"/>
          <w:szCs w:val="24"/>
        </w:rPr>
        <w:t>5</w:t>
      </w:r>
      <w:r w:rsidRPr="00346DA7">
        <w:rPr>
          <w:sz w:val="24"/>
          <w:szCs w:val="24"/>
          <w:vertAlign w:val="superscript"/>
        </w:rPr>
        <w:t>6</w:t>
      </w:r>
      <w:r w:rsidRPr="00346DA7">
        <w:rPr>
          <w:sz w:val="24"/>
          <w:szCs w:val="24"/>
        </w:rPr>
        <w:tab/>
      </w:r>
      <w:r w:rsidRPr="00346DA7">
        <w:rPr>
          <w:sz w:val="24"/>
          <w:szCs w:val="24"/>
        </w:rPr>
        <w:t xml:space="preserve">That is unless </w:t>
      </w:r>
      <w:proofErr w:type="spellStart"/>
      <w:r w:rsidRPr="00346DA7">
        <w:rPr>
          <w:i/>
          <w:iCs/>
          <w:sz w:val="24"/>
          <w:szCs w:val="24"/>
        </w:rPr>
        <w:t>Podokosaurus</w:t>
      </w:r>
      <w:proofErr w:type="spellEnd"/>
      <w:r w:rsidRPr="00346DA7">
        <w:rPr>
          <w:i/>
          <w:iCs/>
          <w:sz w:val="24"/>
          <w:szCs w:val="24"/>
        </w:rPr>
        <w:t xml:space="preserve"> </w:t>
      </w:r>
      <w:proofErr w:type="spellStart"/>
      <w:r w:rsidRPr="00346DA7">
        <w:rPr>
          <w:i/>
          <w:iCs/>
          <w:sz w:val="24"/>
          <w:szCs w:val="24"/>
        </w:rPr>
        <w:t>hoyokensis</w:t>
      </w:r>
      <w:proofErr w:type="spellEnd"/>
      <w:r w:rsidRPr="00346DA7">
        <w:rPr>
          <w:sz w:val="24"/>
          <w:szCs w:val="24"/>
        </w:rPr>
        <w:t xml:space="preserve"> (Talbot, 19911) is of Triassic age. It was found in a glacial boulder near Mount Holyoke, Massachusetts and assumed to be derived from post-Holyoke Basalt strata, most plausibly Portland Formation. But that assumption cannot be tested by modern methods of provenance analysis because the specimen was lost when its repository, Williston Hall at Mount Holyoke College, burned to the ground in 1917 (Warner, 1937).</w:t>
      </w:r>
    </w:p>
    <w:p w:rsidR="005C37D6" w:rsidRPr="00346DA7" w:rsidRDefault="005C37D6" w:rsidP="005C37D6">
      <w:pPr>
        <w:pStyle w:val="FootnoteText"/>
        <w:ind w:left="360" w:hanging="360"/>
        <w:rPr>
          <w:sz w:val="24"/>
          <w:szCs w:val="24"/>
        </w:rPr>
      </w:pPr>
    </w:p>
    <w:p w:rsidR="00CE151F" w:rsidRPr="00346DA7" w:rsidRDefault="005C37D6" w:rsidP="00CE151F">
      <w:pPr>
        <w:pStyle w:val="FootnoteText"/>
        <w:ind w:left="360" w:hanging="360"/>
        <w:rPr>
          <w:rStyle w:val="Emphasis"/>
          <w:i w:val="0"/>
          <w:iCs w:val="0"/>
          <w:sz w:val="24"/>
          <w:szCs w:val="24"/>
        </w:rPr>
      </w:pPr>
      <w:r w:rsidRPr="00346DA7">
        <w:rPr>
          <w:sz w:val="24"/>
          <w:szCs w:val="24"/>
          <w:vertAlign w:val="superscript"/>
        </w:rPr>
        <w:t>57</w:t>
      </w:r>
      <w:r w:rsidRPr="00346DA7">
        <w:rPr>
          <w:sz w:val="24"/>
          <w:szCs w:val="24"/>
        </w:rPr>
        <w:tab/>
      </w:r>
      <w:r w:rsidRPr="00346DA7">
        <w:rPr>
          <w:sz w:val="24"/>
          <w:szCs w:val="24"/>
        </w:rPr>
        <w:t xml:space="preserve">There are Late Triassic age “early diverging”, nominal saurischians that do not fit comfortably into theropods or sauropodomorphs. These include </w:t>
      </w:r>
      <w:proofErr w:type="spellStart"/>
      <w:r w:rsidRPr="00346DA7">
        <w:rPr>
          <w:i/>
          <w:iCs/>
          <w:sz w:val="24"/>
          <w:szCs w:val="24"/>
        </w:rPr>
        <w:t>Herrerasaurus</w:t>
      </w:r>
      <w:proofErr w:type="spellEnd"/>
      <w:r w:rsidRPr="00346DA7">
        <w:rPr>
          <w:sz w:val="24"/>
          <w:szCs w:val="24"/>
        </w:rPr>
        <w:t xml:space="preserve"> and </w:t>
      </w:r>
      <w:proofErr w:type="spellStart"/>
      <w:r w:rsidRPr="00346DA7">
        <w:rPr>
          <w:rStyle w:val="Emphasis"/>
          <w:i w:val="0"/>
          <w:iCs w:val="0"/>
          <w:sz w:val="24"/>
          <w:szCs w:val="24"/>
        </w:rPr>
        <w:t>Daemonosaurus</w:t>
      </w:r>
      <w:proofErr w:type="spellEnd"/>
      <w:r w:rsidRPr="00346DA7">
        <w:rPr>
          <w:rStyle w:val="Emphasis"/>
          <w:i w:val="0"/>
          <w:iCs w:val="0"/>
          <w:sz w:val="24"/>
          <w:szCs w:val="24"/>
        </w:rPr>
        <w:t xml:space="preserve"> and quite a few others [see Nesbitt and Sues, 2021]. Only theropods, sauropodomorphs, and ornithischians definitively make it into the Jurassic.</w:t>
      </w:r>
    </w:p>
    <w:p w:rsidR="00CE151F" w:rsidRPr="00346DA7" w:rsidRDefault="00CE151F" w:rsidP="00CE151F">
      <w:pPr>
        <w:pStyle w:val="FootnoteText"/>
        <w:ind w:left="360" w:hanging="360"/>
        <w:rPr>
          <w:rStyle w:val="Emphasis"/>
          <w:i w:val="0"/>
          <w:iCs w:val="0"/>
          <w:sz w:val="24"/>
          <w:szCs w:val="24"/>
        </w:rPr>
      </w:pPr>
    </w:p>
    <w:p w:rsidR="00CE151F" w:rsidRPr="00346DA7" w:rsidRDefault="00816DF0" w:rsidP="00CE151F">
      <w:pPr>
        <w:pStyle w:val="FootnoteText"/>
        <w:ind w:left="360" w:hanging="360"/>
        <w:rPr>
          <w:sz w:val="24"/>
          <w:szCs w:val="24"/>
        </w:rPr>
      </w:pPr>
      <w:r w:rsidRPr="00346DA7">
        <w:rPr>
          <w:rStyle w:val="FootnoteReference"/>
          <w:sz w:val="24"/>
          <w:szCs w:val="24"/>
        </w:rPr>
        <w:t>5</w:t>
      </w:r>
      <w:r w:rsidRPr="00346DA7">
        <w:rPr>
          <w:sz w:val="24"/>
          <w:szCs w:val="24"/>
          <w:vertAlign w:val="superscript"/>
        </w:rPr>
        <w:t>8</w:t>
      </w:r>
      <w:r w:rsidRPr="00346DA7">
        <w:rPr>
          <w:sz w:val="24"/>
          <w:szCs w:val="24"/>
        </w:rPr>
        <w:tab/>
      </w:r>
      <w:r w:rsidR="00CE151F" w:rsidRPr="00346DA7">
        <w:rPr>
          <w:sz w:val="24"/>
          <w:szCs w:val="24"/>
        </w:rPr>
        <w:t xml:space="preserve">This is assuming that the Late Triassic </w:t>
      </w:r>
      <w:proofErr w:type="spellStart"/>
      <w:r w:rsidR="00CE151F" w:rsidRPr="00346DA7">
        <w:rPr>
          <w:i/>
          <w:iCs/>
          <w:sz w:val="24"/>
          <w:szCs w:val="24"/>
        </w:rPr>
        <w:t>Pisanosaurus</w:t>
      </w:r>
      <w:proofErr w:type="spellEnd"/>
      <w:r w:rsidR="00CE151F" w:rsidRPr="00346DA7">
        <w:rPr>
          <w:sz w:val="24"/>
          <w:szCs w:val="24"/>
        </w:rPr>
        <w:t xml:space="preserve"> which has no evidence of an open acetabulum is a non-dinosaurian </w:t>
      </w:r>
      <w:proofErr w:type="spellStart"/>
      <w:r w:rsidR="00CE151F" w:rsidRPr="00346DA7">
        <w:rPr>
          <w:sz w:val="24"/>
          <w:szCs w:val="24"/>
        </w:rPr>
        <w:t>dinosauromorph</w:t>
      </w:r>
      <w:proofErr w:type="spellEnd"/>
      <w:r w:rsidR="00CE151F" w:rsidRPr="00346DA7">
        <w:rPr>
          <w:sz w:val="24"/>
          <w:szCs w:val="24"/>
        </w:rPr>
        <w:t xml:space="preserve"> [see (Baron, 2017)], with all other supposed Triassic ornithischians remains belonging to other groups (Nesbitt et al., 2007; Irmis et al., 2007) or actually Jurassic in age (Olsen et al., 2011).</w:t>
      </w:r>
    </w:p>
    <w:p w:rsidR="00CE151F" w:rsidRPr="00346DA7" w:rsidRDefault="00CE151F" w:rsidP="00CE151F">
      <w:pPr>
        <w:pStyle w:val="FootnoteText"/>
        <w:ind w:left="360" w:hanging="360"/>
        <w:rPr>
          <w:sz w:val="24"/>
          <w:szCs w:val="24"/>
        </w:rPr>
      </w:pPr>
    </w:p>
    <w:p w:rsidR="00CE151F" w:rsidRPr="00346DA7" w:rsidRDefault="00816DF0" w:rsidP="00CE151F">
      <w:pPr>
        <w:pStyle w:val="FootnoteText"/>
        <w:ind w:left="360" w:hanging="360"/>
        <w:rPr>
          <w:sz w:val="24"/>
          <w:szCs w:val="24"/>
        </w:rPr>
      </w:pPr>
      <w:r w:rsidRPr="00346DA7">
        <w:rPr>
          <w:rStyle w:val="FootnoteReference"/>
          <w:sz w:val="24"/>
          <w:szCs w:val="24"/>
        </w:rPr>
        <w:t>5</w:t>
      </w:r>
      <w:r w:rsidRPr="00346DA7">
        <w:rPr>
          <w:sz w:val="24"/>
          <w:szCs w:val="24"/>
          <w:vertAlign w:val="superscript"/>
        </w:rPr>
        <w:t>9</w:t>
      </w:r>
      <w:r w:rsidRPr="00346DA7">
        <w:rPr>
          <w:sz w:val="24"/>
          <w:szCs w:val="24"/>
        </w:rPr>
        <w:tab/>
      </w:r>
      <w:r w:rsidR="00CE151F" w:rsidRPr="00346DA7">
        <w:rPr>
          <w:sz w:val="24"/>
          <w:szCs w:val="24"/>
        </w:rPr>
        <w:t>By flora we are referring to “land plants” more properly termed embryophytes, which are (primitively) photosynthetic, sexually reproducing, multicellular organisms with alternation of generation in which there is a distinct haploid and diploid life forms in single life cycle, and in which the embryonic haploid form (sporophyte) develops within the tissues of the parent diploid (gametophyte). This excludes all other photosynthetic life forms including algae, cyanobacteria, etc. In terms of fossils, we are discussing both macrofossils, such as leaves, wood, seeds and microscopic reproductive structures such as spores and pollen.</w:t>
      </w:r>
    </w:p>
    <w:p w:rsidR="00CE151F" w:rsidRPr="00346DA7" w:rsidRDefault="00CE151F" w:rsidP="00CE151F">
      <w:pPr>
        <w:pStyle w:val="FootnoteText"/>
        <w:ind w:left="360" w:hanging="360"/>
        <w:rPr>
          <w:sz w:val="24"/>
          <w:szCs w:val="24"/>
        </w:rPr>
      </w:pPr>
    </w:p>
    <w:p w:rsidR="00CE151F" w:rsidRPr="00346DA7" w:rsidRDefault="00816DF0" w:rsidP="00CE151F">
      <w:pPr>
        <w:pStyle w:val="FootnoteText"/>
        <w:ind w:left="360" w:hanging="360"/>
        <w:rPr>
          <w:sz w:val="24"/>
          <w:szCs w:val="24"/>
        </w:rPr>
      </w:pPr>
      <w:r w:rsidRPr="00346DA7">
        <w:rPr>
          <w:rStyle w:val="FootnoteReference"/>
          <w:sz w:val="24"/>
          <w:szCs w:val="24"/>
        </w:rPr>
        <w:t>6</w:t>
      </w:r>
      <w:r w:rsidRPr="00346DA7">
        <w:rPr>
          <w:sz w:val="24"/>
          <w:szCs w:val="24"/>
          <w:vertAlign w:val="superscript"/>
        </w:rPr>
        <w:t>0</w:t>
      </w:r>
      <w:r w:rsidRPr="00346DA7">
        <w:rPr>
          <w:sz w:val="24"/>
          <w:szCs w:val="24"/>
        </w:rPr>
        <w:tab/>
      </w:r>
      <w:r w:rsidR="00CE151F" w:rsidRPr="00346DA7">
        <w:rPr>
          <w:sz w:val="24"/>
          <w:szCs w:val="24"/>
        </w:rPr>
        <w:t xml:space="preserve">There are Triassic and Jurassic fossils, both macrofossils and pollen that could pertain to angiosperms. Discussion of these </w:t>
      </w:r>
      <w:proofErr w:type="gramStart"/>
      <w:r w:rsidR="00CE151F" w:rsidRPr="00346DA7">
        <w:rPr>
          <w:sz w:val="24"/>
          <w:szCs w:val="24"/>
        </w:rPr>
        <w:t>are</w:t>
      </w:r>
      <w:proofErr w:type="gramEnd"/>
      <w:r w:rsidR="00CE151F" w:rsidRPr="00346DA7">
        <w:rPr>
          <w:sz w:val="24"/>
          <w:szCs w:val="24"/>
        </w:rPr>
        <w:t xml:space="preserve"> so contentious, divergent and even </w:t>
      </w:r>
      <w:r w:rsidR="00CE151F" w:rsidRPr="00346DA7">
        <w:rPr>
          <w:i/>
          <w:iCs/>
          <w:sz w:val="24"/>
          <w:szCs w:val="24"/>
        </w:rPr>
        <w:t>ad hominem</w:t>
      </w:r>
      <w:r w:rsidR="00CE151F" w:rsidRPr="00346DA7">
        <w:rPr>
          <w:sz w:val="24"/>
          <w:szCs w:val="24"/>
        </w:rPr>
        <w:t xml:space="preserve"> that they cannot be reviewed here. However, it is worth mentioning that diverse molecular data [see (li et al., 2019) and especially the most recent and comprehensive molecular analysis (</w:t>
      </w:r>
      <w:proofErr w:type="spellStart"/>
      <w:r w:rsidR="00CE151F" w:rsidRPr="00346DA7">
        <w:rPr>
          <w:sz w:val="24"/>
          <w:szCs w:val="24"/>
        </w:rPr>
        <w:t>Zuntini</w:t>
      </w:r>
      <w:proofErr w:type="spellEnd"/>
      <w:r w:rsidR="00CE151F" w:rsidRPr="00346DA7">
        <w:rPr>
          <w:sz w:val="24"/>
          <w:szCs w:val="24"/>
        </w:rPr>
        <w:t xml:space="preserve"> et al., 2024)] pertaining to the crown group angiosperms (see footnote below) indicate either a Triassic or Late Jurassic origin, with the former being irreconcilable with </w:t>
      </w:r>
      <w:r w:rsidR="00CE151F" w:rsidRPr="00346DA7">
        <w:rPr>
          <w:sz w:val="24"/>
          <w:szCs w:val="24"/>
        </w:rPr>
        <w:lastRenderedPageBreak/>
        <w:t xml:space="preserve">available crown group fossils. However, because of high gene tree conflict, the two origin options cannot be decided by molecular data alone. Fossils that could be micro- or macrofloral remains of pre-Cretaceous crown and stem group angiosperms are reviewed (divergently) by (Silvestro et al., </w:t>
      </w:r>
      <w:proofErr w:type="gramStart"/>
      <w:r w:rsidR="00CE151F" w:rsidRPr="00346DA7">
        <w:rPr>
          <w:sz w:val="24"/>
          <w:szCs w:val="24"/>
        </w:rPr>
        <w:t>2021)(</w:t>
      </w:r>
      <w:proofErr w:type="gramEnd"/>
      <w:r w:rsidR="00CE151F" w:rsidRPr="00346DA7">
        <w:rPr>
          <w:sz w:val="24"/>
          <w:szCs w:val="24"/>
        </w:rPr>
        <w:t>Budd et al., 2021).</w:t>
      </w:r>
    </w:p>
    <w:p w:rsidR="00CE151F" w:rsidRPr="00346DA7" w:rsidRDefault="00CE151F" w:rsidP="00CE151F">
      <w:pPr>
        <w:pStyle w:val="FootnoteText"/>
        <w:ind w:left="360" w:hanging="360"/>
        <w:rPr>
          <w:sz w:val="24"/>
          <w:szCs w:val="24"/>
        </w:rPr>
      </w:pPr>
    </w:p>
    <w:p w:rsidR="00CE151F" w:rsidRPr="00346DA7" w:rsidRDefault="00816DF0" w:rsidP="00CE151F">
      <w:pPr>
        <w:pStyle w:val="FootnoteText"/>
        <w:ind w:left="360" w:hanging="360"/>
        <w:rPr>
          <w:sz w:val="24"/>
          <w:szCs w:val="24"/>
        </w:rPr>
      </w:pPr>
      <w:r w:rsidRPr="00346DA7">
        <w:rPr>
          <w:rStyle w:val="FootnoteReference"/>
          <w:sz w:val="24"/>
          <w:szCs w:val="24"/>
        </w:rPr>
        <w:t>6</w:t>
      </w:r>
      <w:r w:rsidRPr="00346DA7">
        <w:rPr>
          <w:sz w:val="24"/>
          <w:szCs w:val="24"/>
          <w:vertAlign w:val="superscript"/>
        </w:rPr>
        <w:t>1</w:t>
      </w:r>
      <w:r w:rsidRPr="00346DA7">
        <w:rPr>
          <w:sz w:val="24"/>
          <w:szCs w:val="24"/>
        </w:rPr>
        <w:tab/>
      </w:r>
      <w:r w:rsidR="00CE151F" w:rsidRPr="00346DA7">
        <w:rPr>
          <w:sz w:val="24"/>
          <w:szCs w:val="24"/>
        </w:rPr>
        <w:t>This is an important distinction. A crown group consists of the most recent common ancestor of all living forms and all of its descendants. The crown group angiosperms may have appeared long after forms with fully developed angiosperm characteristics evolved (the stem group), which together would comprise the total group angiosperms. Crown group angiosperms explode in diversity in the Early Cretaceous, although based on molecular data the origin of the group could be old as Triassic [see review by (Benton et al. (2022) and references above].</w:t>
      </w:r>
    </w:p>
    <w:p w:rsidR="00CE151F" w:rsidRPr="00346DA7" w:rsidRDefault="00CE151F" w:rsidP="00CE151F">
      <w:pPr>
        <w:pStyle w:val="FootnoteText"/>
        <w:ind w:left="360" w:hanging="360"/>
        <w:rPr>
          <w:sz w:val="24"/>
          <w:szCs w:val="24"/>
        </w:rPr>
      </w:pPr>
    </w:p>
    <w:p w:rsidR="00CE151F" w:rsidRPr="00346DA7" w:rsidRDefault="00816DF0" w:rsidP="00CE151F">
      <w:pPr>
        <w:pStyle w:val="FootnoteText"/>
        <w:ind w:left="360" w:hanging="360"/>
        <w:rPr>
          <w:rFonts w:cstheme="minorHAnsi"/>
          <w:sz w:val="24"/>
          <w:szCs w:val="24"/>
        </w:rPr>
      </w:pPr>
      <w:r w:rsidRPr="00346DA7">
        <w:rPr>
          <w:rStyle w:val="FootnoteReference"/>
          <w:sz w:val="24"/>
          <w:szCs w:val="24"/>
        </w:rPr>
        <w:t>6</w:t>
      </w:r>
      <w:r w:rsidRPr="00346DA7">
        <w:rPr>
          <w:sz w:val="24"/>
          <w:szCs w:val="24"/>
          <w:vertAlign w:val="superscript"/>
        </w:rPr>
        <w:t>2</w:t>
      </w:r>
      <w:r w:rsidRPr="00346DA7">
        <w:rPr>
          <w:sz w:val="24"/>
          <w:szCs w:val="24"/>
        </w:rPr>
        <w:tab/>
      </w:r>
      <w:r w:rsidR="00CE151F" w:rsidRPr="00346DA7">
        <w:rPr>
          <w:sz w:val="24"/>
          <w:szCs w:val="24"/>
        </w:rPr>
        <w:t xml:space="preserve">Based on an extrapolated 60 cm skull (Nesbitt et al., 2005) and scaled to the proportions of </w:t>
      </w:r>
      <w:proofErr w:type="spellStart"/>
      <w:r w:rsidR="00CE151F" w:rsidRPr="00346DA7">
        <w:rPr>
          <w:i/>
          <w:iCs/>
          <w:sz w:val="24"/>
          <w:szCs w:val="24"/>
        </w:rPr>
        <w:t>Postosuchus</w:t>
      </w:r>
      <w:proofErr w:type="spellEnd"/>
      <w:r w:rsidR="00CE151F" w:rsidRPr="00346DA7">
        <w:rPr>
          <w:sz w:val="24"/>
          <w:szCs w:val="24"/>
        </w:rPr>
        <w:t xml:space="preserve"> from (</w:t>
      </w:r>
      <w:r w:rsidR="00CE151F" w:rsidRPr="00346DA7">
        <w:rPr>
          <w:rFonts w:cstheme="minorHAnsi"/>
          <w:sz w:val="24"/>
          <w:szCs w:val="24"/>
        </w:rPr>
        <w:t xml:space="preserve">Weinbaum 2013). Its length would be ~4.7 m. </w:t>
      </w:r>
      <w:r w:rsidR="00CE151F" w:rsidRPr="00346DA7">
        <w:rPr>
          <w:sz w:val="24"/>
          <w:szCs w:val="24"/>
        </w:rPr>
        <w:t xml:space="preserve">Nesbitt et al. (2005) scaled the </w:t>
      </w:r>
      <w:proofErr w:type="spellStart"/>
      <w:r w:rsidR="00CE151F" w:rsidRPr="00346DA7">
        <w:rPr>
          <w:rFonts w:cstheme="minorHAnsi"/>
          <w:i/>
          <w:iCs/>
          <w:sz w:val="24"/>
          <w:szCs w:val="24"/>
        </w:rPr>
        <w:t>Redonavenator</w:t>
      </w:r>
      <w:proofErr w:type="spellEnd"/>
      <w:r w:rsidR="00CE151F" w:rsidRPr="00346DA7">
        <w:rPr>
          <w:rFonts w:cstheme="minorHAnsi"/>
          <w:i/>
          <w:iCs/>
          <w:sz w:val="24"/>
          <w:szCs w:val="24"/>
        </w:rPr>
        <w:t xml:space="preserve"> </w:t>
      </w:r>
      <w:r w:rsidR="00CE151F" w:rsidRPr="00346DA7">
        <w:rPr>
          <w:rFonts w:cstheme="minorHAnsi"/>
          <w:sz w:val="24"/>
          <w:szCs w:val="24"/>
        </w:rPr>
        <w:t xml:space="preserve">snout fragment </w:t>
      </w:r>
      <w:proofErr w:type="gramStart"/>
      <w:r w:rsidR="00CE151F" w:rsidRPr="00346DA7">
        <w:rPr>
          <w:rFonts w:cstheme="minorHAnsi"/>
          <w:sz w:val="24"/>
          <w:szCs w:val="24"/>
        </w:rPr>
        <w:t>to</w:t>
      </w:r>
      <w:r w:rsidR="00CE151F" w:rsidRPr="00346DA7">
        <w:rPr>
          <w:rFonts w:cstheme="minorHAnsi"/>
          <w:i/>
          <w:iCs/>
          <w:sz w:val="24"/>
          <w:szCs w:val="24"/>
        </w:rPr>
        <w:t xml:space="preserve"> </w:t>
      </w:r>
      <w:r w:rsidR="00CE151F" w:rsidRPr="00346DA7">
        <w:rPr>
          <w:sz w:val="24"/>
          <w:szCs w:val="24"/>
        </w:rPr>
        <w:t xml:space="preserve"> </w:t>
      </w:r>
      <w:proofErr w:type="spellStart"/>
      <w:r w:rsidR="00CE151F" w:rsidRPr="00346DA7">
        <w:rPr>
          <w:sz w:val="24"/>
          <w:szCs w:val="24"/>
        </w:rPr>
        <w:t>Dromicosuchus</w:t>
      </w:r>
      <w:proofErr w:type="spellEnd"/>
      <w:proofErr w:type="gramEnd"/>
      <w:r w:rsidR="00CE151F" w:rsidRPr="00346DA7">
        <w:rPr>
          <w:sz w:val="24"/>
          <w:szCs w:val="24"/>
        </w:rPr>
        <w:t xml:space="preserve">. And if the body were similarly scaled to that small gracile taxon, the hip height would be more like 1.3 m, but that is implausible because it would imply no allometric scaling and the large animal would have impossible slender limbs. Scaling the </w:t>
      </w:r>
      <w:proofErr w:type="spellStart"/>
      <w:r w:rsidR="00CE151F" w:rsidRPr="00346DA7">
        <w:rPr>
          <w:rFonts w:cstheme="minorHAnsi"/>
          <w:i/>
          <w:iCs/>
          <w:sz w:val="24"/>
          <w:szCs w:val="24"/>
        </w:rPr>
        <w:t>Gojirosaurus</w:t>
      </w:r>
      <w:proofErr w:type="spellEnd"/>
      <w:r w:rsidR="00CE151F" w:rsidRPr="00346DA7">
        <w:rPr>
          <w:rFonts w:cstheme="minorHAnsi"/>
          <w:i/>
          <w:iCs/>
          <w:sz w:val="24"/>
          <w:szCs w:val="24"/>
        </w:rPr>
        <w:t xml:space="preserve"> </w:t>
      </w:r>
      <w:r w:rsidR="00CE151F" w:rsidRPr="00346DA7">
        <w:rPr>
          <w:rFonts w:cstheme="minorHAnsi"/>
          <w:sz w:val="24"/>
          <w:szCs w:val="24"/>
        </w:rPr>
        <w:t xml:space="preserve">tibia length (Griffin and Nesbitt, 2020) to hip height by linear regression [data from </w:t>
      </w:r>
      <w:proofErr w:type="spellStart"/>
      <w:r w:rsidR="00CE151F" w:rsidRPr="00346DA7">
        <w:rPr>
          <w:rFonts w:cstheme="minorHAnsi"/>
          <w:sz w:val="24"/>
          <w:szCs w:val="24"/>
        </w:rPr>
        <w:t>Dececchi</w:t>
      </w:r>
      <w:proofErr w:type="spellEnd"/>
      <w:r w:rsidR="00CE151F" w:rsidRPr="00346DA7">
        <w:rPr>
          <w:rFonts w:cstheme="minorHAnsi"/>
          <w:sz w:val="24"/>
          <w:szCs w:val="24"/>
        </w:rPr>
        <w:t xml:space="preserve"> et al. (2020)], we get a hip height of 1.0 m and a length of about 5.8 m scaled to </w:t>
      </w:r>
      <w:proofErr w:type="spellStart"/>
      <w:r w:rsidR="00CE151F" w:rsidRPr="00346DA7">
        <w:rPr>
          <w:rFonts w:cstheme="minorHAnsi"/>
          <w:i/>
          <w:iCs/>
          <w:sz w:val="24"/>
          <w:szCs w:val="24"/>
        </w:rPr>
        <w:t>Liliensternus</w:t>
      </w:r>
      <w:proofErr w:type="spellEnd"/>
      <w:r w:rsidR="00CE151F" w:rsidRPr="00346DA7">
        <w:rPr>
          <w:rFonts w:cstheme="minorHAnsi"/>
          <w:sz w:val="24"/>
          <w:szCs w:val="24"/>
        </w:rPr>
        <w:t xml:space="preserve"> (Paul, 1988).</w:t>
      </w:r>
      <w:r w:rsidR="00CE151F" w:rsidRPr="00346DA7">
        <w:rPr>
          <w:sz w:val="24"/>
          <w:szCs w:val="24"/>
        </w:rPr>
        <w:t xml:space="preserve"> Based on </w:t>
      </w:r>
      <w:r w:rsidR="00CE151F" w:rsidRPr="00346DA7">
        <w:rPr>
          <w:rFonts w:cstheme="minorHAnsi"/>
          <w:sz w:val="24"/>
          <w:szCs w:val="24"/>
        </w:rPr>
        <w:t xml:space="preserve">Weinbaum’s (2013) </w:t>
      </w:r>
      <w:proofErr w:type="spellStart"/>
      <w:r w:rsidR="00CE151F" w:rsidRPr="00346DA7">
        <w:rPr>
          <w:rFonts w:cstheme="minorHAnsi"/>
          <w:i/>
          <w:iCs/>
          <w:sz w:val="24"/>
          <w:szCs w:val="24"/>
        </w:rPr>
        <w:t>Postosuchus</w:t>
      </w:r>
      <w:proofErr w:type="spellEnd"/>
      <w:r w:rsidR="00CE151F" w:rsidRPr="00346DA7">
        <w:rPr>
          <w:rFonts w:cstheme="minorHAnsi"/>
          <w:sz w:val="24"/>
          <w:szCs w:val="24"/>
        </w:rPr>
        <w:t xml:space="preserve"> </w:t>
      </w:r>
      <w:proofErr w:type="spellStart"/>
      <w:r w:rsidR="00CE151F" w:rsidRPr="00346DA7">
        <w:rPr>
          <w:rFonts w:cstheme="minorHAnsi"/>
          <w:sz w:val="24"/>
          <w:szCs w:val="24"/>
        </w:rPr>
        <w:t>reconsruction</w:t>
      </w:r>
      <w:proofErr w:type="spellEnd"/>
      <w:r w:rsidR="00CE151F" w:rsidRPr="00346DA7">
        <w:rPr>
          <w:rFonts w:cstheme="minorHAnsi"/>
          <w:sz w:val="24"/>
          <w:szCs w:val="24"/>
        </w:rPr>
        <w:t xml:space="preserve"> based on TTU-P 9000, hip height would also be 0.85 m length of 4.7 m.</w:t>
      </w:r>
    </w:p>
    <w:p w:rsidR="00CE151F" w:rsidRPr="00346DA7" w:rsidRDefault="00CE151F" w:rsidP="00CE151F">
      <w:pPr>
        <w:pStyle w:val="FootnoteText"/>
        <w:ind w:left="360" w:hanging="360"/>
        <w:rPr>
          <w:rFonts w:cstheme="minorHAnsi"/>
          <w:sz w:val="24"/>
          <w:szCs w:val="24"/>
        </w:rPr>
      </w:pPr>
    </w:p>
    <w:p w:rsidR="00CE151F" w:rsidRPr="00346DA7" w:rsidRDefault="00816DF0" w:rsidP="00CE151F">
      <w:pPr>
        <w:pStyle w:val="FootnoteText"/>
        <w:ind w:left="360" w:hanging="360"/>
        <w:rPr>
          <w:sz w:val="24"/>
          <w:szCs w:val="24"/>
        </w:rPr>
      </w:pPr>
      <w:r w:rsidRPr="00346DA7">
        <w:rPr>
          <w:rStyle w:val="FootnoteReference"/>
          <w:sz w:val="24"/>
          <w:szCs w:val="24"/>
        </w:rPr>
        <w:t>6</w:t>
      </w:r>
      <w:r w:rsidRPr="00346DA7">
        <w:rPr>
          <w:sz w:val="24"/>
          <w:szCs w:val="24"/>
          <w:vertAlign w:val="superscript"/>
        </w:rPr>
        <w:t>3</w:t>
      </w:r>
      <w:r w:rsidRPr="00346DA7">
        <w:rPr>
          <w:sz w:val="24"/>
          <w:szCs w:val="24"/>
        </w:rPr>
        <w:tab/>
      </w:r>
      <w:proofErr w:type="spellStart"/>
      <w:r w:rsidR="00CE151F" w:rsidRPr="00346DA7">
        <w:rPr>
          <w:i/>
          <w:iCs/>
          <w:sz w:val="24"/>
          <w:szCs w:val="24"/>
        </w:rPr>
        <w:t>Placerias</w:t>
      </w:r>
      <w:proofErr w:type="spellEnd"/>
      <w:r w:rsidR="00CE151F" w:rsidRPr="00346DA7">
        <w:rPr>
          <w:sz w:val="24"/>
          <w:szCs w:val="24"/>
        </w:rPr>
        <w:t xml:space="preserve"> was about 1.3 m at shoulder and 2.9 m long based on a photograph of the mounted cast at museum at Petrified Forest National Park (https://earthathome.org/hoe/sw/fossils-cp/ and scaled to the largest reported skull at 68 cm long (Camp and Welles, 1956).</w:t>
      </w:r>
    </w:p>
    <w:p w:rsidR="00CE151F" w:rsidRPr="00346DA7" w:rsidRDefault="00CE151F" w:rsidP="00CE151F">
      <w:pPr>
        <w:pStyle w:val="FootnoteText"/>
        <w:ind w:left="360" w:hanging="360"/>
        <w:rPr>
          <w:sz w:val="24"/>
          <w:szCs w:val="24"/>
        </w:rPr>
      </w:pPr>
    </w:p>
    <w:p w:rsidR="00CE151F" w:rsidRPr="00346DA7" w:rsidRDefault="00816DF0" w:rsidP="00CE151F">
      <w:pPr>
        <w:pStyle w:val="FootnoteText"/>
        <w:ind w:left="360" w:hanging="360"/>
        <w:rPr>
          <w:sz w:val="24"/>
          <w:szCs w:val="24"/>
        </w:rPr>
      </w:pPr>
      <w:r w:rsidRPr="00346DA7">
        <w:rPr>
          <w:rStyle w:val="FootnoteReference"/>
          <w:sz w:val="24"/>
          <w:szCs w:val="24"/>
        </w:rPr>
        <w:t>6</w:t>
      </w:r>
      <w:r w:rsidRPr="00346DA7">
        <w:rPr>
          <w:sz w:val="24"/>
          <w:szCs w:val="24"/>
          <w:vertAlign w:val="superscript"/>
        </w:rPr>
        <w:t>4</w:t>
      </w:r>
      <w:r w:rsidRPr="00346DA7">
        <w:rPr>
          <w:sz w:val="24"/>
          <w:szCs w:val="24"/>
        </w:rPr>
        <w:tab/>
      </w:r>
      <w:r w:rsidR="00CE151F" w:rsidRPr="00346DA7">
        <w:rPr>
          <w:sz w:val="24"/>
          <w:szCs w:val="24"/>
        </w:rPr>
        <w:t xml:space="preserve">Based on scaling to the digital Plateosaurus of </w:t>
      </w:r>
      <w:proofErr w:type="spellStart"/>
      <w:r w:rsidR="00CE151F" w:rsidRPr="00346DA7">
        <w:rPr>
          <w:sz w:val="24"/>
          <w:szCs w:val="24"/>
        </w:rPr>
        <w:t>Mallison</w:t>
      </w:r>
      <w:proofErr w:type="spellEnd"/>
      <w:r w:rsidR="00CE151F" w:rsidRPr="00346DA7">
        <w:rPr>
          <w:sz w:val="24"/>
          <w:szCs w:val="24"/>
        </w:rPr>
        <w:t xml:space="preserve"> (2010) assuming a reduced hip height to account for a semi plantigrade foot implantation.</w:t>
      </w:r>
    </w:p>
    <w:p w:rsidR="00CE151F" w:rsidRPr="00346DA7" w:rsidRDefault="00CE151F" w:rsidP="00CE151F">
      <w:pPr>
        <w:pStyle w:val="FootnoteText"/>
        <w:ind w:left="360" w:hanging="360"/>
        <w:rPr>
          <w:sz w:val="24"/>
          <w:szCs w:val="24"/>
        </w:rPr>
      </w:pPr>
    </w:p>
    <w:p w:rsidR="007A6680" w:rsidRPr="00346DA7" w:rsidRDefault="00816DF0" w:rsidP="007A6680">
      <w:pPr>
        <w:pStyle w:val="FootnoteText"/>
        <w:ind w:left="360" w:hanging="360"/>
        <w:rPr>
          <w:sz w:val="24"/>
          <w:szCs w:val="24"/>
        </w:rPr>
      </w:pPr>
      <w:r w:rsidRPr="00346DA7">
        <w:rPr>
          <w:rStyle w:val="FootnoteReference"/>
          <w:sz w:val="24"/>
          <w:szCs w:val="24"/>
        </w:rPr>
        <w:t>6</w:t>
      </w:r>
      <w:r w:rsidRPr="00346DA7">
        <w:rPr>
          <w:sz w:val="24"/>
          <w:szCs w:val="24"/>
          <w:vertAlign w:val="superscript"/>
        </w:rPr>
        <w:t>5</w:t>
      </w:r>
      <w:r w:rsidRPr="00346DA7">
        <w:rPr>
          <w:sz w:val="24"/>
          <w:szCs w:val="24"/>
        </w:rPr>
        <w:tab/>
      </w:r>
      <w:r w:rsidR="00CE151F" w:rsidRPr="00346DA7">
        <w:rPr>
          <w:sz w:val="24"/>
          <w:szCs w:val="24"/>
        </w:rPr>
        <w:t xml:space="preserve">Roughly scaled to </w:t>
      </w:r>
      <w:proofErr w:type="spellStart"/>
      <w:r w:rsidR="00CE151F" w:rsidRPr="00346DA7">
        <w:rPr>
          <w:i/>
          <w:iCs/>
          <w:sz w:val="24"/>
          <w:szCs w:val="24"/>
        </w:rPr>
        <w:t>Ingentia</w:t>
      </w:r>
      <w:proofErr w:type="spellEnd"/>
      <w:r w:rsidR="00CE151F" w:rsidRPr="00346DA7">
        <w:rPr>
          <w:i/>
          <w:iCs/>
          <w:sz w:val="24"/>
          <w:szCs w:val="24"/>
        </w:rPr>
        <w:t xml:space="preserve"> </w:t>
      </w:r>
      <w:r w:rsidR="00CE151F" w:rsidRPr="00346DA7">
        <w:rPr>
          <w:sz w:val="24"/>
          <w:szCs w:val="24"/>
        </w:rPr>
        <w:t xml:space="preserve">based on </w:t>
      </w:r>
      <w:proofErr w:type="spellStart"/>
      <w:r w:rsidR="00CE151F" w:rsidRPr="00346DA7">
        <w:rPr>
          <w:sz w:val="24"/>
          <w:szCs w:val="24"/>
        </w:rPr>
        <w:t>Apaldetti</w:t>
      </w:r>
      <w:proofErr w:type="spellEnd"/>
      <w:r w:rsidR="00CE151F" w:rsidRPr="00346DA7">
        <w:rPr>
          <w:sz w:val="24"/>
          <w:szCs w:val="24"/>
        </w:rPr>
        <w:t xml:space="preserve"> (2018).</w:t>
      </w:r>
    </w:p>
    <w:p w:rsidR="007A6680" w:rsidRPr="00346DA7" w:rsidRDefault="007A6680" w:rsidP="007A6680">
      <w:pPr>
        <w:pStyle w:val="FootnoteText"/>
        <w:ind w:left="360" w:hanging="360"/>
        <w:rPr>
          <w:sz w:val="24"/>
          <w:szCs w:val="24"/>
        </w:rPr>
      </w:pPr>
    </w:p>
    <w:p w:rsidR="007A6680" w:rsidRPr="00346DA7" w:rsidRDefault="007A6680" w:rsidP="007A6680">
      <w:pPr>
        <w:pStyle w:val="FootnoteText"/>
        <w:ind w:left="360" w:hanging="360"/>
        <w:rPr>
          <w:sz w:val="24"/>
          <w:szCs w:val="24"/>
        </w:rPr>
      </w:pPr>
      <w:r w:rsidRPr="00346DA7">
        <w:rPr>
          <w:rStyle w:val="FootnoteReference"/>
          <w:sz w:val="24"/>
          <w:szCs w:val="24"/>
        </w:rPr>
        <w:t>6</w:t>
      </w:r>
      <w:r w:rsidRPr="00346DA7">
        <w:rPr>
          <w:sz w:val="24"/>
          <w:szCs w:val="24"/>
          <w:vertAlign w:val="superscript"/>
        </w:rPr>
        <w:t>6</w:t>
      </w:r>
      <w:r w:rsidRPr="00346DA7">
        <w:rPr>
          <w:sz w:val="24"/>
          <w:szCs w:val="24"/>
        </w:rPr>
        <w:tab/>
      </w:r>
      <w:r w:rsidRPr="00346DA7">
        <w:rPr>
          <w:sz w:val="24"/>
          <w:szCs w:val="24"/>
        </w:rPr>
        <w:t>By amphibians we mean all organisms that are more closely related to modern amphibians than to mammals plus reptiles (</w:t>
      </w:r>
      <w:proofErr w:type="spellStart"/>
      <w:r w:rsidRPr="00346DA7">
        <w:rPr>
          <w:sz w:val="24"/>
          <w:szCs w:val="24"/>
        </w:rPr>
        <w:t>Sauropsida</w:t>
      </w:r>
      <w:proofErr w:type="spellEnd"/>
      <w:r w:rsidRPr="00346DA7">
        <w:rPr>
          <w:sz w:val="24"/>
          <w:szCs w:val="24"/>
        </w:rPr>
        <w:t xml:space="preserve">). The large to very large forms in low to mid-latitudes that went extinct were all temnospondyls, while the modern groups of amphibians (frog, salamanders and caecilians) all within the Lissamphibia, survived. Two temnospondyl groups, the </w:t>
      </w:r>
      <w:proofErr w:type="spellStart"/>
      <w:r w:rsidRPr="00346DA7">
        <w:rPr>
          <w:sz w:val="24"/>
          <w:szCs w:val="24"/>
        </w:rPr>
        <w:t>Brachopidea</w:t>
      </w:r>
      <w:proofErr w:type="spellEnd"/>
      <w:r w:rsidRPr="00346DA7">
        <w:rPr>
          <w:sz w:val="24"/>
          <w:szCs w:val="24"/>
        </w:rPr>
        <w:t xml:space="preserve"> and </w:t>
      </w:r>
      <w:proofErr w:type="spellStart"/>
      <w:r w:rsidRPr="00346DA7">
        <w:rPr>
          <w:sz w:val="24"/>
          <w:szCs w:val="24"/>
        </w:rPr>
        <w:t>Trematosauridae</w:t>
      </w:r>
      <w:proofErr w:type="spellEnd"/>
      <w:r w:rsidRPr="00346DA7">
        <w:rPr>
          <w:sz w:val="24"/>
          <w:szCs w:val="24"/>
        </w:rPr>
        <w:t xml:space="preserve"> survived at high latitudes into the Late Jurassic and Early Cretaceous, respectively, but compared to the Late Triassic their diversity was very low. It is unclear if the temnospondyls make into the Rhaetian in the tropics, but the definitely did in the mid-latitude and were among the most common of all Rhaetian </w:t>
      </w:r>
      <w:proofErr w:type="spellStart"/>
      <w:r w:rsidRPr="00346DA7">
        <w:rPr>
          <w:sz w:val="24"/>
          <w:szCs w:val="24"/>
        </w:rPr>
        <w:t>tetrapods</w:t>
      </w:r>
      <w:proofErr w:type="spellEnd"/>
      <w:r w:rsidRPr="00346DA7">
        <w:rPr>
          <w:sz w:val="24"/>
          <w:szCs w:val="24"/>
        </w:rPr>
        <w:t>.</w:t>
      </w:r>
    </w:p>
    <w:p w:rsidR="007A6680" w:rsidRPr="00346DA7" w:rsidRDefault="007A6680" w:rsidP="007A6680">
      <w:pPr>
        <w:pStyle w:val="FootnoteText"/>
        <w:ind w:left="360" w:hanging="360"/>
        <w:rPr>
          <w:sz w:val="24"/>
          <w:szCs w:val="24"/>
        </w:rPr>
      </w:pPr>
    </w:p>
    <w:p w:rsidR="007A6680" w:rsidRPr="00346DA7" w:rsidRDefault="007A6680" w:rsidP="007A6680">
      <w:pPr>
        <w:pStyle w:val="FootnoteText"/>
        <w:ind w:left="360" w:hanging="360"/>
        <w:rPr>
          <w:sz w:val="24"/>
          <w:szCs w:val="24"/>
        </w:rPr>
      </w:pPr>
      <w:r w:rsidRPr="00346DA7">
        <w:rPr>
          <w:rStyle w:val="FootnoteReference"/>
          <w:sz w:val="24"/>
          <w:szCs w:val="24"/>
        </w:rPr>
        <w:t>6</w:t>
      </w:r>
      <w:r w:rsidRPr="00346DA7">
        <w:rPr>
          <w:sz w:val="24"/>
          <w:szCs w:val="24"/>
          <w:vertAlign w:val="superscript"/>
        </w:rPr>
        <w:t>7</w:t>
      </w:r>
      <w:r w:rsidRPr="00346DA7">
        <w:rPr>
          <w:sz w:val="24"/>
          <w:szCs w:val="24"/>
        </w:rPr>
        <w:tab/>
      </w:r>
      <w:r w:rsidRPr="00346DA7">
        <w:rPr>
          <w:sz w:val="24"/>
          <w:szCs w:val="24"/>
        </w:rPr>
        <w:t xml:space="preserve">The elephant-sized dicynodont </w:t>
      </w:r>
      <w:proofErr w:type="spellStart"/>
      <w:r w:rsidRPr="00346DA7">
        <w:rPr>
          <w:i/>
          <w:iCs/>
          <w:sz w:val="24"/>
          <w:szCs w:val="24"/>
        </w:rPr>
        <w:t>Lisowicia</w:t>
      </w:r>
      <w:proofErr w:type="spellEnd"/>
      <w:r w:rsidRPr="00346DA7">
        <w:rPr>
          <w:sz w:val="24"/>
          <w:szCs w:val="24"/>
        </w:rPr>
        <w:t>, described from Poland is nominally from latest Triassic (Rhaetian) strata (</w:t>
      </w:r>
      <w:proofErr w:type="spellStart"/>
      <w:r w:rsidRPr="00346DA7">
        <w:rPr>
          <w:sz w:val="24"/>
          <w:szCs w:val="24"/>
        </w:rPr>
        <w:t>Sulje</w:t>
      </w:r>
      <w:proofErr w:type="spellEnd"/>
      <w:r w:rsidRPr="00346DA7">
        <w:rPr>
          <w:sz w:val="24"/>
          <w:szCs w:val="24"/>
        </w:rPr>
        <w:t xml:space="preserve"> and </w:t>
      </w:r>
      <w:proofErr w:type="spellStart"/>
      <w:r w:rsidRPr="00346DA7">
        <w:rPr>
          <w:sz w:val="24"/>
          <w:szCs w:val="24"/>
        </w:rPr>
        <w:t>Niedźwiedzki</w:t>
      </w:r>
      <w:proofErr w:type="spellEnd"/>
      <w:r w:rsidRPr="00346DA7">
        <w:rPr>
          <w:sz w:val="24"/>
          <w:szCs w:val="24"/>
        </w:rPr>
        <w:t>, 2019), which would make it the youngest known dicynodont, however, its age is not well established and the only non-</w:t>
      </w:r>
      <w:proofErr w:type="spellStart"/>
      <w:r w:rsidRPr="00346DA7">
        <w:rPr>
          <w:sz w:val="24"/>
          <w:szCs w:val="24"/>
        </w:rPr>
        <w:t>biostratigraphic</w:t>
      </w:r>
      <w:proofErr w:type="spellEnd"/>
      <w:r w:rsidRPr="00346DA7">
        <w:rPr>
          <w:sz w:val="24"/>
          <w:szCs w:val="24"/>
        </w:rPr>
        <w:t xml:space="preserve"> </w:t>
      </w:r>
      <w:r w:rsidRPr="00346DA7">
        <w:rPr>
          <w:sz w:val="24"/>
          <w:szCs w:val="24"/>
        </w:rPr>
        <w:lastRenderedPageBreak/>
        <w:t>data are detrital zircons with a SHRIMP maximum age of 211 ± 3 Ma based on the youngest single crystal (Kowal-</w:t>
      </w:r>
      <w:proofErr w:type="spellStart"/>
      <w:r w:rsidRPr="00346DA7">
        <w:rPr>
          <w:sz w:val="24"/>
          <w:szCs w:val="24"/>
        </w:rPr>
        <w:t>Linka</w:t>
      </w:r>
      <w:proofErr w:type="spellEnd"/>
      <w:r w:rsidRPr="00346DA7">
        <w:rPr>
          <w:sz w:val="24"/>
          <w:szCs w:val="24"/>
        </w:rPr>
        <w:t xml:space="preserve"> et al., 2019) and therefore if accurate would indicate an age of Middle Norian age or younger.</w:t>
      </w:r>
    </w:p>
    <w:p w:rsidR="007A6680" w:rsidRPr="00346DA7" w:rsidRDefault="007A6680" w:rsidP="007A6680">
      <w:pPr>
        <w:pStyle w:val="FootnoteText"/>
        <w:ind w:left="360" w:hanging="360"/>
        <w:rPr>
          <w:sz w:val="24"/>
          <w:szCs w:val="24"/>
        </w:rPr>
      </w:pPr>
    </w:p>
    <w:p w:rsidR="007A6680" w:rsidRPr="00346DA7" w:rsidRDefault="007A6680" w:rsidP="007A6680">
      <w:pPr>
        <w:pStyle w:val="FootnoteText"/>
        <w:ind w:left="360" w:hanging="360"/>
        <w:rPr>
          <w:sz w:val="24"/>
          <w:szCs w:val="24"/>
        </w:rPr>
      </w:pPr>
      <w:r w:rsidRPr="00346DA7">
        <w:rPr>
          <w:rStyle w:val="FootnoteReference"/>
          <w:sz w:val="24"/>
          <w:szCs w:val="24"/>
        </w:rPr>
        <w:t>6</w:t>
      </w:r>
      <w:r w:rsidRPr="00346DA7">
        <w:rPr>
          <w:sz w:val="24"/>
          <w:szCs w:val="24"/>
          <w:vertAlign w:val="superscript"/>
        </w:rPr>
        <w:t>8</w:t>
      </w:r>
      <w:r w:rsidRPr="00346DA7">
        <w:rPr>
          <w:sz w:val="24"/>
          <w:szCs w:val="24"/>
        </w:rPr>
        <w:tab/>
      </w:r>
      <w:r w:rsidRPr="00346DA7">
        <w:rPr>
          <w:sz w:val="24"/>
          <w:szCs w:val="24"/>
        </w:rPr>
        <w:t xml:space="preserve">The World’s oldest definitive evidence of ornithischian dinosaurs are </w:t>
      </w:r>
      <w:proofErr w:type="spellStart"/>
      <w:r w:rsidRPr="00346DA7">
        <w:rPr>
          <w:i/>
          <w:iCs/>
          <w:sz w:val="24"/>
          <w:szCs w:val="24"/>
        </w:rPr>
        <w:t>Anomepus</w:t>
      </w:r>
      <w:proofErr w:type="spellEnd"/>
      <w:r w:rsidRPr="00346DA7">
        <w:rPr>
          <w:sz w:val="24"/>
          <w:szCs w:val="24"/>
        </w:rPr>
        <w:t xml:space="preserve"> footprints of from the </w:t>
      </w:r>
      <w:proofErr w:type="spellStart"/>
      <w:r w:rsidRPr="00346DA7">
        <w:rPr>
          <w:sz w:val="24"/>
          <w:szCs w:val="24"/>
        </w:rPr>
        <w:t>Feltville</w:t>
      </w:r>
      <w:proofErr w:type="spellEnd"/>
      <w:r w:rsidRPr="00346DA7">
        <w:rPr>
          <w:sz w:val="24"/>
          <w:szCs w:val="24"/>
        </w:rPr>
        <w:t xml:space="preserve"> (Olsen and </w:t>
      </w:r>
      <w:proofErr w:type="spellStart"/>
      <w:r w:rsidRPr="00346DA7">
        <w:rPr>
          <w:sz w:val="24"/>
          <w:szCs w:val="24"/>
        </w:rPr>
        <w:t>Rainforth</w:t>
      </w:r>
      <w:proofErr w:type="spellEnd"/>
      <w:r w:rsidRPr="00346DA7">
        <w:rPr>
          <w:sz w:val="24"/>
          <w:szCs w:val="24"/>
        </w:rPr>
        <w:t xml:space="preserve">, 2003) and Shuttle Meadow Formation (PEO, personal observation). There are also teeth and some postcranial bones from the basal McCoy Brook Formation (Fundy Basin) (Sues and Olsen, 2015), correlative with the lower </w:t>
      </w:r>
      <w:proofErr w:type="spellStart"/>
      <w:r w:rsidRPr="00346DA7">
        <w:rPr>
          <w:sz w:val="24"/>
          <w:szCs w:val="24"/>
        </w:rPr>
        <w:t>Feltville</w:t>
      </w:r>
      <w:proofErr w:type="spellEnd"/>
      <w:r w:rsidRPr="00346DA7">
        <w:rPr>
          <w:sz w:val="24"/>
          <w:szCs w:val="24"/>
        </w:rPr>
        <w:t xml:space="preserve"> and Shuttle Meadow Formations, but these on their own are not definitively ornithischian, even though that identification is required by process of elimination</w:t>
      </w:r>
      <w:r w:rsidRPr="00346DA7">
        <w:rPr>
          <w:sz w:val="24"/>
          <w:szCs w:val="24"/>
        </w:rPr>
        <w:t>.</w:t>
      </w:r>
    </w:p>
    <w:p w:rsidR="007A6680" w:rsidRPr="00346DA7" w:rsidRDefault="007A6680" w:rsidP="007A6680">
      <w:pPr>
        <w:pStyle w:val="FootnoteText"/>
        <w:ind w:left="360" w:hanging="360"/>
        <w:rPr>
          <w:sz w:val="24"/>
          <w:szCs w:val="24"/>
        </w:rPr>
      </w:pPr>
    </w:p>
    <w:p w:rsidR="007A6680" w:rsidRPr="00346DA7" w:rsidRDefault="007A6680" w:rsidP="007A6680">
      <w:pPr>
        <w:pStyle w:val="FootnoteText"/>
        <w:ind w:left="360" w:hanging="360"/>
        <w:rPr>
          <w:sz w:val="24"/>
          <w:szCs w:val="24"/>
        </w:rPr>
      </w:pPr>
      <w:r w:rsidRPr="00346DA7">
        <w:rPr>
          <w:rStyle w:val="FootnoteReference"/>
          <w:sz w:val="24"/>
          <w:szCs w:val="24"/>
        </w:rPr>
        <w:t>6</w:t>
      </w:r>
      <w:r w:rsidRPr="00346DA7">
        <w:rPr>
          <w:sz w:val="24"/>
          <w:szCs w:val="24"/>
          <w:vertAlign w:val="superscript"/>
        </w:rPr>
        <w:t>9</w:t>
      </w:r>
      <w:r w:rsidRPr="00346DA7">
        <w:rPr>
          <w:sz w:val="24"/>
          <w:szCs w:val="24"/>
        </w:rPr>
        <w:tab/>
      </w:r>
      <w:r w:rsidRPr="00346DA7">
        <w:rPr>
          <w:sz w:val="24"/>
          <w:szCs w:val="24"/>
        </w:rPr>
        <w:t>Scaled from (McPhee et al, 2018).</w:t>
      </w:r>
    </w:p>
    <w:p w:rsidR="007A6680" w:rsidRPr="00346DA7" w:rsidRDefault="007A6680" w:rsidP="007A6680">
      <w:pPr>
        <w:pStyle w:val="FootnoteText"/>
        <w:ind w:left="360" w:hanging="360"/>
        <w:rPr>
          <w:sz w:val="24"/>
          <w:szCs w:val="24"/>
        </w:rPr>
      </w:pPr>
    </w:p>
    <w:p w:rsidR="00AD2F02" w:rsidRPr="00346DA7" w:rsidRDefault="007A6680" w:rsidP="00AD2F02">
      <w:pPr>
        <w:pStyle w:val="FootnoteText"/>
        <w:ind w:left="360" w:hanging="360"/>
        <w:rPr>
          <w:sz w:val="24"/>
          <w:szCs w:val="24"/>
        </w:rPr>
      </w:pPr>
      <w:r w:rsidRPr="00346DA7">
        <w:rPr>
          <w:rStyle w:val="FootnoteReference"/>
          <w:sz w:val="24"/>
          <w:szCs w:val="24"/>
        </w:rPr>
        <w:t>7</w:t>
      </w:r>
      <w:r w:rsidRPr="00346DA7">
        <w:rPr>
          <w:sz w:val="24"/>
          <w:szCs w:val="24"/>
          <w:vertAlign w:val="superscript"/>
        </w:rPr>
        <w:t>0</w:t>
      </w:r>
      <w:r w:rsidRPr="00346DA7">
        <w:rPr>
          <w:sz w:val="24"/>
          <w:szCs w:val="24"/>
        </w:rPr>
        <w:tab/>
      </w:r>
      <w:r w:rsidRPr="00346DA7">
        <w:rPr>
          <w:sz w:val="24"/>
          <w:szCs w:val="24"/>
        </w:rPr>
        <w:t xml:space="preserve">Scaled from (Paul, </w:t>
      </w:r>
      <w:proofErr w:type="gramStart"/>
      <w:r w:rsidRPr="00346DA7">
        <w:rPr>
          <w:sz w:val="24"/>
          <w:szCs w:val="24"/>
        </w:rPr>
        <w:t>2016)(</w:t>
      </w:r>
      <w:proofErr w:type="gramEnd"/>
      <w:r w:rsidRPr="00346DA7">
        <w:rPr>
          <w:sz w:val="24"/>
          <w:szCs w:val="24"/>
        </w:rPr>
        <w:t>McPhee et al., 2015).</w:t>
      </w:r>
    </w:p>
    <w:p w:rsidR="00AD2F02" w:rsidRPr="00346DA7" w:rsidRDefault="00AD2F02" w:rsidP="00AD2F02">
      <w:pPr>
        <w:pStyle w:val="FootnoteText"/>
        <w:ind w:left="360" w:hanging="360"/>
        <w:rPr>
          <w:sz w:val="24"/>
          <w:szCs w:val="24"/>
        </w:rPr>
      </w:pPr>
    </w:p>
    <w:p w:rsidR="00D93008" w:rsidRPr="00346DA7" w:rsidRDefault="00AD2F02" w:rsidP="00D93008">
      <w:pPr>
        <w:pStyle w:val="FootnoteText"/>
        <w:ind w:left="360" w:hanging="360"/>
        <w:rPr>
          <w:sz w:val="24"/>
          <w:szCs w:val="24"/>
        </w:rPr>
      </w:pPr>
      <w:r w:rsidRPr="00346DA7">
        <w:rPr>
          <w:rStyle w:val="FootnoteReference"/>
          <w:sz w:val="24"/>
          <w:szCs w:val="24"/>
        </w:rPr>
        <w:t>7</w:t>
      </w:r>
      <w:r w:rsidRPr="00346DA7">
        <w:rPr>
          <w:sz w:val="24"/>
          <w:szCs w:val="24"/>
          <w:vertAlign w:val="superscript"/>
        </w:rPr>
        <w:t>1</w:t>
      </w:r>
      <w:r w:rsidRPr="00346DA7">
        <w:rPr>
          <w:sz w:val="24"/>
          <w:szCs w:val="24"/>
        </w:rPr>
        <w:tab/>
      </w:r>
      <w:r w:rsidRPr="00346DA7">
        <w:rPr>
          <w:sz w:val="24"/>
          <w:szCs w:val="24"/>
        </w:rPr>
        <w:t xml:space="preserve">There are some very rare but interesting exceptions. One is the assemblage from the lower Scots Bay Formation by </w:t>
      </w:r>
      <w:proofErr w:type="spellStart"/>
      <w:r w:rsidRPr="00346DA7">
        <w:rPr>
          <w:sz w:val="24"/>
          <w:szCs w:val="24"/>
        </w:rPr>
        <w:t>Cirilli</w:t>
      </w:r>
      <w:proofErr w:type="spellEnd"/>
      <w:r w:rsidRPr="00346DA7">
        <w:rPr>
          <w:sz w:val="24"/>
          <w:szCs w:val="24"/>
        </w:rPr>
        <w:t xml:space="preserve"> et al. (2009). Another is an undescribed assemblage</w:t>
      </w:r>
      <w:r w:rsidR="00527579" w:rsidRPr="00346DA7">
        <w:rPr>
          <w:sz w:val="24"/>
          <w:szCs w:val="24"/>
        </w:rPr>
        <w:t xml:space="preserve"> from the lower </w:t>
      </w:r>
      <w:proofErr w:type="spellStart"/>
      <w:r w:rsidR="00527579" w:rsidRPr="00346DA7">
        <w:rPr>
          <w:sz w:val="24"/>
          <w:szCs w:val="24"/>
        </w:rPr>
        <w:t>Feltville</w:t>
      </w:r>
      <w:proofErr w:type="spellEnd"/>
      <w:r w:rsidR="00527579" w:rsidRPr="00346DA7">
        <w:rPr>
          <w:sz w:val="24"/>
          <w:szCs w:val="24"/>
        </w:rPr>
        <w:t xml:space="preserve"> Formation dominated by </w:t>
      </w:r>
      <w:proofErr w:type="spellStart"/>
      <w:r w:rsidR="00527579" w:rsidRPr="00346DA7">
        <w:rPr>
          <w:sz w:val="24"/>
          <w:szCs w:val="24"/>
        </w:rPr>
        <w:t>equisetalian</w:t>
      </w:r>
      <w:proofErr w:type="spellEnd"/>
      <w:r w:rsidR="00527579" w:rsidRPr="00346DA7">
        <w:rPr>
          <w:sz w:val="24"/>
          <w:szCs w:val="24"/>
        </w:rPr>
        <w:t xml:space="preserve"> (horsetail) spores.</w:t>
      </w:r>
    </w:p>
    <w:p w:rsidR="00D93008" w:rsidRPr="00346DA7" w:rsidRDefault="00D93008" w:rsidP="00D93008">
      <w:pPr>
        <w:pStyle w:val="FootnoteText"/>
        <w:ind w:left="360" w:hanging="360"/>
        <w:rPr>
          <w:sz w:val="24"/>
          <w:szCs w:val="24"/>
        </w:rPr>
      </w:pPr>
    </w:p>
    <w:p w:rsidR="00D93008" w:rsidRPr="00346DA7" w:rsidRDefault="00D93008" w:rsidP="00D93008">
      <w:pPr>
        <w:pStyle w:val="FootnoteText"/>
        <w:ind w:left="360" w:hanging="360"/>
        <w:rPr>
          <w:sz w:val="24"/>
          <w:szCs w:val="24"/>
        </w:rPr>
      </w:pPr>
      <w:r w:rsidRPr="00346DA7">
        <w:rPr>
          <w:rStyle w:val="FootnoteReference"/>
          <w:sz w:val="24"/>
          <w:szCs w:val="24"/>
        </w:rPr>
        <w:t>7</w:t>
      </w:r>
      <w:r w:rsidRPr="00346DA7">
        <w:rPr>
          <w:sz w:val="24"/>
          <w:szCs w:val="24"/>
          <w:vertAlign w:val="superscript"/>
        </w:rPr>
        <w:t>2</w:t>
      </w:r>
      <w:r w:rsidRPr="00346DA7">
        <w:rPr>
          <w:sz w:val="24"/>
          <w:szCs w:val="24"/>
        </w:rPr>
        <w:tab/>
      </w:r>
      <w:r w:rsidR="00527579" w:rsidRPr="00346DA7">
        <w:rPr>
          <w:sz w:val="24"/>
          <w:szCs w:val="24"/>
        </w:rPr>
        <w:t>Massachusetts Senate Docket, No. 698 Filed on: 2/4/2021: Senate No. 2028, An Act establishing the official dinosaur of the commonwealth.</w:t>
      </w:r>
    </w:p>
    <w:p w:rsidR="00D93008" w:rsidRPr="00346DA7" w:rsidRDefault="00D93008" w:rsidP="00D93008">
      <w:pPr>
        <w:pStyle w:val="FootnoteText"/>
        <w:ind w:left="360" w:hanging="360"/>
        <w:rPr>
          <w:sz w:val="24"/>
          <w:szCs w:val="24"/>
        </w:rPr>
      </w:pPr>
    </w:p>
    <w:p w:rsidR="00AC711B" w:rsidRPr="00346DA7" w:rsidRDefault="00D93008" w:rsidP="00AC711B">
      <w:pPr>
        <w:pStyle w:val="FootnoteText"/>
        <w:ind w:left="360" w:hanging="360"/>
        <w:rPr>
          <w:sz w:val="24"/>
          <w:szCs w:val="24"/>
        </w:rPr>
      </w:pPr>
      <w:r w:rsidRPr="00346DA7">
        <w:rPr>
          <w:rStyle w:val="FootnoteReference"/>
          <w:sz w:val="24"/>
          <w:szCs w:val="24"/>
        </w:rPr>
        <w:t>7</w:t>
      </w:r>
      <w:r w:rsidRPr="00346DA7">
        <w:rPr>
          <w:sz w:val="24"/>
          <w:szCs w:val="24"/>
          <w:vertAlign w:val="superscript"/>
        </w:rPr>
        <w:t>3</w:t>
      </w:r>
      <w:r w:rsidRPr="00346DA7">
        <w:rPr>
          <w:sz w:val="24"/>
          <w:szCs w:val="24"/>
        </w:rPr>
        <w:tab/>
      </w:r>
      <w:r w:rsidR="00527579" w:rsidRPr="00346DA7">
        <w:rPr>
          <w:sz w:val="24"/>
          <w:szCs w:val="24"/>
        </w:rPr>
        <w:t>The name is derived from the original name of the suburban development, Exeter Village, in Exeter Township near Reading, Pennsylvania. However as depicted in Figure 30 data are actual derived from a suite of localities spanning about 1.3 km, from Constitution Avenue on the east to Sycamore Drive on the west.</w:t>
      </w:r>
    </w:p>
    <w:p w:rsidR="00AC711B" w:rsidRPr="00346DA7" w:rsidRDefault="00AC711B" w:rsidP="00AC711B">
      <w:pPr>
        <w:pStyle w:val="FootnoteText"/>
        <w:ind w:left="360" w:hanging="360"/>
        <w:rPr>
          <w:sz w:val="24"/>
          <w:szCs w:val="24"/>
        </w:rPr>
      </w:pPr>
    </w:p>
    <w:p w:rsidR="00AC711B" w:rsidRPr="00346DA7" w:rsidRDefault="00AC711B" w:rsidP="00AC711B">
      <w:pPr>
        <w:pStyle w:val="FootnoteText"/>
        <w:ind w:left="360" w:hanging="360"/>
        <w:rPr>
          <w:sz w:val="24"/>
          <w:szCs w:val="24"/>
        </w:rPr>
      </w:pPr>
      <w:r w:rsidRPr="00346DA7">
        <w:rPr>
          <w:sz w:val="24"/>
          <w:szCs w:val="24"/>
          <w:vertAlign w:val="superscript"/>
        </w:rPr>
        <w:t>74</w:t>
      </w:r>
      <w:r w:rsidRPr="00346DA7">
        <w:rPr>
          <w:sz w:val="24"/>
          <w:szCs w:val="24"/>
        </w:rPr>
        <w:tab/>
      </w:r>
      <w:r w:rsidRPr="00346DA7">
        <w:rPr>
          <w:sz w:val="24"/>
          <w:szCs w:val="24"/>
        </w:rPr>
        <w:t>Tracks were collected during construction of suburban residential and commercial structures in the 1990s and 2010s, but has nearly ceased as the areas are fully developed.</w:t>
      </w:r>
    </w:p>
    <w:p w:rsidR="00AC711B" w:rsidRPr="00346DA7" w:rsidRDefault="00AC711B" w:rsidP="00AC711B">
      <w:pPr>
        <w:pStyle w:val="FootnoteText"/>
        <w:ind w:left="360" w:hanging="360"/>
        <w:rPr>
          <w:sz w:val="24"/>
          <w:szCs w:val="24"/>
        </w:rPr>
      </w:pPr>
    </w:p>
    <w:p w:rsidR="00AC711B" w:rsidRPr="00346DA7" w:rsidRDefault="00AC711B" w:rsidP="00AC711B">
      <w:pPr>
        <w:pStyle w:val="FootnoteText"/>
        <w:ind w:left="360" w:hanging="360"/>
        <w:rPr>
          <w:sz w:val="24"/>
          <w:szCs w:val="24"/>
        </w:rPr>
      </w:pPr>
      <w:r w:rsidRPr="00346DA7">
        <w:rPr>
          <w:sz w:val="24"/>
          <w:szCs w:val="24"/>
          <w:vertAlign w:val="superscript"/>
        </w:rPr>
        <w:t>75</w:t>
      </w:r>
      <w:r w:rsidRPr="00346DA7">
        <w:rPr>
          <w:sz w:val="24"/>
          <w:szCs w:val="24"/>
        </w:rPr>
        <w:tab/>
      </w:r>
      <w:r w:rsidRPr="00346DA7">
        <w:rPr>
          <w:sz w:val="24"/>
          <w:szCs w:val="24"/>
        </w:rPr>
        <w:t xml:space="preserve">The term </w:t>
      </w:r>
      <w:proofErr w:type="spellStart"/>
      <w:r w:rsidRPr="00346DA7">
        <w:rPr>
          <w:sz w:val="24"/>
          <w:szCs w:val="24"/>
        </w:rPr>
        <w:t>brontozoid</w:t>
      </w:r>
      <w:proofErr w:type="spellEnd"/>
      <w:r w:rsidRPr="00346DA7">
        <w:rPr>
          <w:sz w:val="24"/>
          <w:szCs w:val="24"/>
        </w:rPr>
        <w:t xml:space="preserve"> is an informal name for a range of kinds of footprints derived from Edward Hitchcock’s (1936, 1841, 1845, 1847</w:t>
      </w:r>
      <w:proofErr w:type="gramStart"/>
      <w:r w:rsidRPr="00346DA7">
        <w:rPr>
          <w:sz w:val="24"/>
          <w:szCs w:val="24"/>
        </w:rPr>
        <w:t>, )</w:t>
      </w:r>
      <w:proofErr w:type="gramEnd"/>
      <w:r w:rsidRPr="00346DA7">
        <w:rPr>
          <w:sz w:val="24"/>
          <w:szCs w:val="24"/>
        </w:rPr>
        <w:t xml:space="preserve"> first called </w:t>
      </w:r>
      <w:proofErr w:type="spellStart"/>
      <w:r w:rsidRPr="00346DA7">
        <w:rPr>
          <w:i/>
          <w:iCs/>
          <w:sz w:val="24"/>
          <w:szCs w:val="24"/>
        </w:rPr>
        <w:t>Ornithichnites</w:t>
      </w:r>
      <w:proofErr w:type="spellEnd"/>
      <w:r w:rsidRPr="00346DA7">
        <w:rPr>
          <w:sz w:val="24"/>
          <w:szCs w:val="24"/>
        </w:rPr>
        <w:t xml:space="preserve">, then </w:t>
      </w:r>
      <w:proofErr w:type="spellStart"/>
      <w:r w:rsidRPr="00346DA7">
        <w:rPr>
          <w:i/>
          <w:iCs/>
          <w:sz w:val="24"/>
          <w:szCs w:val="24"/>
        </w:rPr>
        <w:t>Ornithoidichnites</w:t>
      </w:r>
      <w:proofErr w:type="spellEnd"/>
      <w:r w:rsidRPr="00346DA7">
        <w:rPr>
          <w:sz w:val="24"/>
          <w:szCs w:val="24"/>
        </w:rPr>
        <w:t xml:space="preserve">, and then </w:t>
      </w:r>
      <w:proofErr w:type="spellStart"/>
      <w:r w:rsidRPr="00346DA7">
        <w:rPr>
          <w:i/>
          <w:iCs/>
          <w:sz w:val="24"/>
          <w:szCs w:val="24"/>
        </w:rPr>
        <w:t>Eubrontes</w:t>
      </w:r>
      <w:proofErr w:type="spellEnd"/>
      <w:r w:rsidRPr="00346DA7">
        <w:rPr>
          <w:sz w:val="24"/>
          <w:szCs w:val="24"/>
        </w:rPr>
        <w:t xml:space="preserve">. Hitchcock then renamed </w:t>
      </w:r>
      <w:proofErr w:type="spellStart"/>
      <w:r w:rsidRPr="00346DA7">
        <w:rPr>
          <w:i/>
          <w:iCs/>
          <w:sz w:val="24"/>
          <w:szCs w:val="24"/>
        </w:rPr>
        <w:t>Eubrontes</w:t>
      </w:r>
      <w:proofErr w:type="spellEnd"/>
      <w:r w:rsidRPr="00346DA7">
        <w:rPr>
          <w:sz w:val="24"/>
          <w:szCs w:val="24"/>
        </w:rPr>
        <w:t xml:space="preserve">, </w:t>
      </w:r>
      <w:proofErr w:type="spellStart"/>
      <w:r w:rsidRPr="00346DA7">
        <w:rPr>
          <w:i/>
          <w:iCs/>
          <w:sz w:val="24"/>
          <w:szCs w:val="24"/>
        </w:rPr>
        <w:t>Brontozoum</w:t>
      </w:r>
      <w:proofErr w:type="spellEnd"/>
      <w:r w:rsidRPr="00346DA7">
        <w:rPr>
          <w:sz w:val="24"/>
          <w:szCs w:val="24"/>
        </w:rPr>
        <w:t xml:space="preserve"> which was later subdivided into </w:t>
      </w:r>
      <w:proofErr w:type="spellStart"/>
      <w:r w:rsidRPr="00346DA7">
        <w:rPr>
          <w:i/>
          <w:iCs/>
          <w:sz w:val="24"/>
          <w:szCs w:val="24"/>
        </w:rPr>
        <w:t>Grallator</w:t>
      </w:r>
      <w:proofErr w:type="spellEnd"/>
      <w:r w:rsidRPr="00346DA7">
        <w:rPr>
          <w:sz w:val="24"/>
          <w:szCs w:val="24"/>
        </w:rPr>
        <w:t xml:space="preserve"> and </w:t>
      </w:r>
      <w:proofErr w:type="spellStart"/>
      <w:r w:rsidRPr="00346DA7">
        <w:rPr>
          <w:i/>
          <w:iCs/>
          <w:sz w:val="24"/>
          <w:szCs w:val="24"/>
        </w:rPr>
        <w:t>Anchisauripus</w:t>
      </w:r>
      <w:proofErr w:type="spellEnd"/>
      <w:r w:rsidRPr="00346DA7">
        <w:rPr>
          <w:sz w:val="24"/>
          <w:szCs w:val="24"/>
        </w:rPr>
        <w:t xml:space="preserve"> with </w:t>
      </w:r>
      <w:proofErr w:type="spellStart"/>
      <w:r w:rsidRPr="00346DA7">
        <w:rPr>
          <w:i/>
          <w:iCs/>
          <w:sz w:val="24"/>
          <w:szCs w:val="24"/>
        </w:rPr>
        <w:t>Eubrontes</w:t>
      </w:r>
      <w:proofErr w:type="spellEnd"/>
      <w:r w:rsidRPr="00346DA7">
        <w:rPr>
          <w:sz w:val="24"/>
          <w:szCs w:val="24"/>
        </w:rPr>
        <w:t xml:space="preserve"> resurrected by, Hay (1902) followed by Lull (1903, 1915, 1953). The morphological variability between these forms overlaps, and relative proportions tend to be related to size (Olsen 1980; Olsen et al. 1998). </w:t>
      </w:r>
      <w:proofErr w:type="spellStart"/>
      <w:r w:rsidRPr="00346DA7">
        <w:rPr>
          <w:sz w:val="24"/>
          <w:szCs w:val="24"/>
        </w:rPr>
        <w:t>Rainforth</w:t>
      </w:r>
      <w:proofErr w:type="spellEnd"/>
      <w:r w:rsidRPr="00346DA7">
        <w:rPr>
          <w:sz w:val="24"/>
          <w:szCs w:val="24"/>
        </w:rPr>
        <w:t xml:space="preserve"> 2004 introduced the term ‘</w:t>
      </w:r>
      <w:proofErr w:type="spellStart"/>
      <w:r w:rsidRPr="00346DA7">
        <w:rPr>
          <w:sz w:val="24"/>
          <w:szCs w:val="24"/>
        </w:rPr>
        <w:t>brontozoid</w:t>
      </w:r>
      <w:proofErr w:type="spellEnd"/>
      <w:r w:rsidRPr="00346DA7">
        <w:rPr>
          <w:sz w:val="24"/>
          <w:szCs w:val="24"/>
        </w:rPr>
        <w:t xml:space="preserve">’ as term that skirts this nomenclatural mess and yet still is a non-committal term closest to Hitchcock’s 1858 concept of </w:t>
      </w:r>
      <w:proofErr w:type="spellStart"/>
      <w:r w:rsidRPr="00346DA7">
        <w:rPr>
          <w:i/>
          <w:iCs/>
          <w:sz w:val="24"/>
          <w:szCs w:val="24"/>
        </w:rPr>
        <w:t>Brontozoum</w:t>
      </w:r>
      <w:proofErr w:type="spellEnd"/>
      <w:r w:rsidRPr="00346DA7">
        <w:rPr>
          <w:sz w:val="24"/>
          <w:szCs w:val="24"/>
        </w:rPr>
        <w:t>.</w:t>
      </w:r>
    </w:p>
    <w:p w:rsidR="00ED7817" w:rsidRPr="00346DA7" w:rsidRDefault="00ED7817" w:rsidP="00AC711B">
      <w:pPr>
        <w:pStyle w:val="FootnoteText"/>
        <w:ind w:left="360" w:hanging="360"/>
        <w:rPr>
          <w:sz w:val="24"/>
          <w:szCs w:val="24"/>
        </w:rPr>
      </w:pPr>
    </w:p>
    <w:p w:rsidR="004376E1" w:rsidRPr="00346DA7" w:rsidRDefault="00ED7817" w:rsidP="004376E1">
      <w:pPr>
        <w:pStyle w:val="FootnoteText"/>
        <w:ind w:left="360" w:hanging="360"/>
        <w:rPr>
          <w:color w:val="000000" w:themeColor="text1"/>
          <w:sz w:val="24"/>
          <w:szCs w:val="24"/>
        </w:rPr>
      </w:pPr>
      <w:r w:rsidRPr="00346DA7">
        <w:rPr>
          <w:sz w:val="24"/>
          <w:szCs w:val="24"/>
          <w:vertAlign w:val="superscript"/>
        </w:rPr>
        <w:t>76</w:t>
      </w:r>
      <w:r w:rsidRPr="00346DA7">
        <w:rPr>
          <w:sz w:val="24"/>
          <w:szCs w:val="24"/>
        </w:rPr>
        <w:tab/>
        <w:t xml:space="preserve">Specimen numbers: </w:t>
      </w:r>
      <w:r w:rsidRPr="00346DA7">
        <w:rPr>
          <w:color w:val="000000" w:themeColor="text1"/>
          <w:sz w:val="24"/>
          <w:szCs w:val="24"/>
        </w:rPr>
        <w:t xml:space="preserve">A, </w:t>
      </w:r>
      <w:r w:rsidRPr="00346DA7">
        <w:rPr>
          <w:iCs/>
          <w:color w:val="000000" w:themeColor="text1"/>
          <w:sz w:val="24"/>
          <w:szCs w:val="24"/>
        </w:rPr>
        <w:t>NJSM Collection</w:t>
      </w:r>
      <w:r w:rsidRPr="00346DA7">
        <w:rPr>
          <w:color w:val="000000" w:themeColor="text1"/>
          <w:sz w:val="24"/>
          <w:szCs w:val="24"/>
        </w:rPr>
        <w:t>;</w:t>
      </w:r>
      <w:r w:rsidRPr="00346DA7">
        <w:rPr>
          <w:i/>
          <w:iCs/>
          <w:color w:val="000000" w:themeColor="text1"/>
          <w:sz w:val="24"/>
          <w:szCs w:val="24"/>
        </w:rPr>
        <w:t xml:space="preserve"> </w:t>
      </w:r>
      <w:r w:rsidRPr="00346DA7">
        <w:rPr>
          <w:color w:val="000000" w:themeColor="text1"/>
          <w:sz w:val="24"/>
          <w:szCs w:val="24"/>
        </w:rPr>
        <w:t>B, YPM VPPU 018563; C,</w:t>
      </w:r>
      <w:r w:rsidRPr="00346DA7">
        <w:rPr>
          <w:rFonts w:cstheme="minorHAnsi"/>
          <w:color w:val="000000" w:themeColor="text1"/>
          <w:sz w:val="24"/>
          <w:szCs w:val="24"/>
        </w:rPr>
        <w:t xml:space="preserve"> ACM ICH 26/5; D, ACM ICH 4/1; E, RUGM main slab; Fa, J. </w:t>
      </w:r>
      <w:proofErr w:type="spellStart"/>
      <w:r w:rsidRPr="00346DA7">
        <w:rPr>
          <w:rFonts w:cstheme="minorHAnsi"/>
          <w:color w:val="000000" w:themeColor="text1"/>
          <w:sz w:val="24"/>
          <w:szCs w:val="24"/>
        </w:rPr>
        <w:t>Colegrande</w:t>
      </w:r>
      <w:proofErr w:type="spellEnd"/>
      <w:r w:rsidRPr="00346DA7">
        <w:rPr>
          <w:rFonts w:cstheme="minorHAnsi"/>
          <w:color w:val="000000" w:themeColor="text1"/>
          <w:sz w:val="24"/>
          <w:szCs w:val="24"/>
        </w:rPr>
        <w:t xml:space="preserve"> Collection; Fb-d, RUGM main </w:t>
      </w:r>
      <w:proofErr w:type="gramStart"/>
      <w:r w:rsidRPr="00346DA7">
        <w:rPr>
          <w:rFonts w:cstheme="minorHAnsi"/>
          <w:color w:val="000000" w:themeColor="text1"/>
          <w:sz w:val="24"/>
          <w:szCs w:val="24"/>
        </w:rPr>
        <w:t>slab;  Fe</w:t>
      </w:r>
      <w:proofErr w:type="gramEnd"/>
      <w:r w:rsidRPr="00346DA7">
        <w:rPr>
          <w:rFonts w:cstheme="minorHAnsi"/>
          <w:color w:val="000000" w:themeColor="text1"/>
          <w:sz w:val="24"/>
          <w:szCs w:val="24"/>
        </w:rPr>
        <w:t xml:space="preserve">, f, specimens lost; G, </w:t>
      </w:r>
      <w:r w:rsidRPr="00346DA7">
        <w:rPr>
          <w:color w:val="000000" w:themeColor="text1"/>
          <w:sz w:val="24"/>
          <w:szCs w:val="24"/>
        </w:rPr>
        <w:t>YPM VPPU 20467;</w:t>
      </w:r>
      <w:r w:rsidRPr="00346DA7">
        <w:rPr>
          <w:rFonts w:cstheme="minorHAnsi"/>
          <w:color w:val="000000" w:themeColor="text1"/>
          <w:sz w:val="24"/>
          <w:szCs w:val="24"/>
        </w:rPr>
        <w:t xml:space="preserve"> H, </w:t>
      </w:r>
      <w:r w:rsidRPr="00346DA7">
        <w:rPr>
          <w:color w:val="000000" w:themeColor="text1"/>
          <w:sz w:val="24"/>
          <w:szCs w:val="24"/>
        </w:rPr>
        <w:t>ANSP Collection</w:t>
      </w:r>
      <w:r w:rsidRPr="00346DA7">
        <w:rPr>
          <w:rFonts w:cstheme="minorHAnsi"/>
          <w:color w:val="000000" w:themeColor="text1"/>
          <w:sz w:val="24"/>
          <w:szCs w:val="24"/>
        </w:rPr>
        <w:t xml:space="preserve">. I, </w:t>
      </w:r>
      <w:r w:rsidRPr="00346DA7">
        <w:rPr>
          <w:color w:val="000000" w:themeColor="text1"/>
          <w:sz w:val="24"/>
          <w:szCs w:val="24"/>
        </w:rPr>
        <w:t xml:space="preserve">ANSP Collection; J, composite from Baird (1957); K, </w:t>
      </w:r>
      <w:r w:rsidRPr="00346DA7">
        <w:rPr>
          <w:sz w:val="24"/>
          <w:szCs w:val="24"/>
        </w:rPr>
        <w:t xml:space="preserve">composite from Baird (1953); L, composite from Baird (1957); M, from Silvestri and </w:t>
      </w:r>
      <w:proofErr w:type="spellStart"/>
      <w:r w:rsidRPr="00346DA7">
        <w:rPr>
          <w:sz w:val="24"/>
          <w:szCs w:val="24"/>
        </w:rPr>
        <w:t>Szajna</w:t>
      </w:r>
      <w:proofErr w:type="spellEnd"/>
      <w:r w:rsidRPr="00346DA7">
        <w:rPr>
          <w:sz w:val="24"/>
          <w:szCs w:val="24"/>
        </w:rPr>
        <w:t xml:space="preserve"> </w:t>
      </w:r>
      <w:r w:rsidRPr="00346DA7">
        <w:rPr>
          <w:color w:val="000000" w:themeColor="text1"/>
          <w:sz w:val="24"/>
          <w:szCs w:val="24"/>
        </w:rPr>
        <w:t xml:space="preserve">(1993); N, Silvestri and </w:t>
      </w:r>
      <w:proofErr w:type="spellStart"/>
      <w:r w:rsidRPr="00346DA7">
        <w:rPr>
          <w:color w:val="000000" w:themeColor="text1"/>
          <w:sz w:val="24"/>
          <w:szCs w:val="24"/>
        </w:rPr>
        <w:t>Szajna</w:t>
      </w:r>
      <w:proofErr w:type="spellEnd"/>
      <w:r w:rsidRPr="00346DA7">
        <w:rPr>
          <w:color w:val="000000" w:themeColor="text1"/>
          <w:sz w:val="24"/>
          <w:szCs w:val="24"/>
        </w:rPr>
        <w:t xml:space="preserve"> (1993); O, </w:t>
      </w:r>
      <w:r w:rsidRPr="00346DA7">
        <w:rPr>
          <w:iCs/>
          <w:color w:val="000000" w:themeColor="text1"/>
          <w:sz w:val="24"/>
          <w:szCs w:val="24"/>
        </w:rPr>
        <w:t xml:space="preserve">VMNH 202. P, YPM VP Collection; Q, composite from Olsen and Baird (1986); R, AMNH 1789; S, YPM </w:t>
      </w:r>
      <w:r w:rsidRPr="00346DA7">
        <w:rPr>
          <w:iCs/>
          <w:color w:val="000000" w:themeColor="text1"/>
          <w:sz w:val="24"/>
          <w:szCs w:val="24"/>
        </w:rPr>
        <w:lastRenderedPageBreak/>
        <w:t>VP Collection; T, not collected</w:t>
      </w:r>
      <w:r w:rsidRPr="00346DA7">
        <w:rPr>
          <w:i/>
          <w:color w:val="000000" w:themeColor="text1"/>
          <w:sz w:val="24"/>
          <w:szCs w:val="24"/>
        </w:rPr>
        <w:t xml:space="preserve">; </w:t>
      </w:r>
      <w:r w:rsidRPr="00346DA7">
        <w:rPr>
          <w:iCs/>
          <w:color w:val="000000" w:themeColor="text1"/>
          <w:sz w:val="24"/>
          <w:szCs w:val="24"/>
        </w:rPr>
        <w:t xml:space="preserve">U, </w:t>
      </w:r>
      <w:r w:rsidRPr="00346DA7">
        <w:rPr>
          <w:color w:val="000000" w:themeColor="text1"/>
          <w:sz w:val="24"/>
          <w:szCs w:val="24"/>
        </w:rPr>
        <w:t>not collected</w:t>
      </w:r>
      <w:r w:rsidRPr="00346DA7">
        <w:rPr>
          <w:iCs/>
          <w:color w:val="000000" w:themeColor="text1"/>
          <w:sz w:val="24"/>
          <w:szCs w:val="24"/>
        </w:rPr>
        <w:t xml:space="preserve">; V, </w:t>
      </w:r>
      <w:r w:rsidRPr="00346DA7">
        <w:rPr>
          <w:color w:val="000000" w:themeColor="text1"/>
          <w:sz w:val="24"/>
          <w:szCs w:val="24"/>
        </w:rPr>
        <w:t>James L. Mashburn Collection; W, not collected;</w:t>
      </w:r>
      <w:r w:rsidRPr="00346DA7">
        <w:rPr>
          <w:iCs/>
          <w:color w:val="000000" w:themeColor="text1"/>
          <w:sz w:val="24"/>
          <w:szCs w:val="24"/>
        </w:rPr>
        <w:t xml:space="preserve"> X, </w:t>
      </w:r>
      <w:r w:rsidRPr="00346DA7">
        <w:rPr>
          <w:color w:val="000000" w:themeColor="text1"/>
          <w:sz w:val="24"/>
          <w:szCs w:val="24"/>
        </w:rPr>
        <w:t>NBM Collection.</w:t>
      </w:r>
    </w:p>
    <w:p w:rsidR="004376E1" w:rsidRPr="00346DA7" w:rsidRDefault="004376E1" w:rsidP="004376E1">
      <w:pPr>
        <w:pStyle w:val="FootnoteText"/>
        <w:ind w:left="360" w:hanging="360"/>
        <w:rPr>
          <w:color w:val="000000" w:themeColor="text1"/>
          <w:sz w:val="24"/>
          <w:szCs w:val="24"/>
        </w:rPr>
      </w:pPr>
    </w:p>
    <w:p w:rsidR="008D4EF1" w:rsidRPr="00346DA7" w:rsidRDefault="004376E1" w:rsidP="008D4EF1">
      <w:pPr>
        <w:pStyle w:val="FootnoteText"/>
        <w:ind w:left="360" w:hanging="360"/>
        <w:rPr>
          <w:sz w:val="24"/>
          <w:szCs w:val="24"/>
        </w:rPr>
      </w:pPr>
      <w:r w:rsidRPr="00346DA7">
        <w:rPr>
          <w:rStyle w:val="FootnoteReference"/>
          <w:sz w:val="24"/>
          <w:szCs w:val="24"/>
        </w:rPr>
        <w:t>7</w:t>
      </w:r>
      <w:r w:rsidRPr="00346DA7">
        <w:rPr>
          <w:sz w:val="24"/>
          <w:szCs w:val="24"/>
          <w:vertAlign w:val="superscript"/>
        </w:rPr>
        <w:t>7</w:t>
      </w:r>
      <w:r w:rsidRPr="00346DA7">
        <w:rPr>
          <w:sz w:val="24"/>
          <w:szCs w:val="24"/>
        </w:rPr>
        <w:t xml:space="preserve"> </w:t>
      </w:r>
      <w:r w:rsidRPr="00346DA7">
        <w:rPr>
          <w:sz w:val="24"/>
          <w:szCs w:val="24"/>
        </w:rPr>
        <w:tab/>
      </w:r>
      <w:r w:rsidRPr="00346DA7">
        <w:rPr>
          <w:sz w:val="24"/>
          <w:szCs w:val="24"/>
        </w:rPr>
        <w:t>Clades are defined as a the most recent common ancestor of a group and all of the descendants within that group. The idea of clade specific characters is an important one for discussing the taxonomic filtering effects major environmental perturbations.</w:t>
      </w:r>
    </w:p>
    <w:p w:rsidR="008D4EF1" w:rsidRPr="00346DA7" w:rsidRDefault="008D4EF1" w:rsidP="008D4EF1">
      <w:pPr>
        <w:pStyle w:val="FootnoteText"/>
        <w:ind w:left="360" w:hanging="360"/>
        <w:rPr>
          <w:sz w:val="24"/>
          <w:szCs w:val="24"/>
        </w:rPr>
      </w:pPr>
    </w:p>
    <w:p w:rsidR="00B97447" w:rsidRPr="00346DA7" w:rsidRDefault="008D4EF1" w:rsidP="00B97447">
      <w:pPr>
        <w:pStyle w:val="FootnoteText"/>
        <w:ind w:left="360" w:hanging="360"/>
        <w:rPr>
          <w:sz w:val="24"/>
          <w:szCs w:val="24"/>
        </w:rPr>
      </w:pPr>
      <w:r w:rsidRPr="00346DA7">
        <w:rPr>
          <w:sz w:val="24"/>
          <w:szCs w:val="24"/>
          <w:vertAlign w:val="superscript"/>
        </w:rPr>
        <w:t>78</w:t>
      </w:r>
      <w:r w:rsidRPr="00346DA7">
        <w:rPr>
          <w:sz w:val="24"/>
          <w:szCs w:val="24"/>
        </w:rPr>
        <w:tab/>
      </w:r>
      <w:r w:rsidRPr="00346DA7">
        <w:rPr>
          <w:sz w:val="24"/>
          <w:szCs w:val="24"/>
        </w:rPr>
        <w:t>Lidar from National Map and geology from Schnabel and Eric (1964, 1965), and roads from Google Maps.</w:t>
      </w:r>
    </w:p>
    <w:p w:rsidR="00B97447" w:rsidRPr="00346DA7" w:rsidRDefault="00B97447" w:rsidP="00B97447">
      <w:pPr>
        <w:pStyle w:val="FootnoteText"/>
        <w:ind w:left="360" w:hanging="360"/>
        <w:rPr>
          <w:sz w:val="24"/>
          <w:szCs w:val="24"/>
        </w:rPr>
      </w:pPr>
    </w:p>
    <w:p w:rsidR="00457645" w:rsidRPr="00346DA7" w:rsidRDefault="00B97447" w:rsidP="00457645">
      <w:pPr>
        <w:pStyle w:val="FootnoteText"/>
        <w:ind w:left="360" w:hanging="360"/>
        <w:rPr>
          <w:sz w:val="24"/>
          <w:szCs w:val="24"/>
        </w:rPr>
      </w:pPr>
      <w:r w:rsidRPr="00346DA7">
        <w:rPr>
          <w:sz w:val="24"/>
          <w:szCs w:val="24"/>
          <w:vertAlign w:val="superscript"/>
        </w:rPr>
        <w:t>79</w:t>
      </w:r>
      <w:r w:rsidRPr="00346DA7">
        <w:rPr>
          <w:sz w:val="24"/>
          <w:szCs w:val="24"/>
        </w:rPr>
        <w:tab/>
      </w:r>
      <w:r w:rsidRPr="00346DA7">
        <w:rPr>
          <w:sz w:val="24"/>
          <w:szCs w:val="24"/>
        </w:rPr>
        <w:t xml:space="preserve">The date of the discovery is given by Ellsworth (1935) and the locality is given as the Orestes Wilcox quarry, “…easterly of the American Legion Hall…”, which was </w:t>
      </w:r>
      <w:proofErr w:type="spellStart"/>
      <w:r w:rsidRPr="00346DA7">
        <w:rPr>
          <w:sz w:val="24"/>
          <w:szCs w:val="24"/>
        </w:rPr>
        <w:t>Tomalonis</w:t>
      </w:r>
      <w:proofErr w:type="spellEnd"/>
      <w:r w:rsidRPr="00346DA7">
        <w:rPr>
          <w:sz w:val="24"/>
          <w:szCs w:val="24"/>
        </w:rPr>
        <w:t>-Hall Post No. 84, 64 West Street, Simsbury, CT; data associated with the specimen agree this this and give the collector as J. R. Ensign.</w:t>
      </w:r>
    </w:p>
    <w:p w:rsidR="00457645" w:rsidRPr="00346DA7" w:rsidRDefault="00457645" w:rsidP="00457645">
      <w:pPr>
        <w:pStyle w:val="FootnoteText"/>
        <w:ind w:left="360" w:hanging="360"/>
        <w:rPr>
          <w:sz w:val="24"/>
          <w:szCs w:val="24"/>
        </w:rPr>
      </w:pPr>
    </w:p>
    <w:p w:rsidR="005C3BCE" w:rsidRPr="00346DA7" w:rsidRDefault="00457645" w:rsidP="005C3BCE">
      <w:pPr>
        <w:pStyle w:val="FootnoteText"/>
        <w:ind w:left="360" w:hanging="360"/>
        <w:rPr>
          <w:sz w:val="24"/>
          <w:szCs w:val="24"/>
        </w:rPr>
      </w:pPr>
      <w:r w:rsidRPr="00346DA7">
        <w:rPr>
          <w:sz w:val="24"/>
          <w:szCs w:val="24"/>
          <w:vertAlign w:val="superscript"/>
        </w:rPr>
        <w:t>80</w:t>
      </w:r>
      <w:r w:rsidRPr="00346DA7">
        <w:rPr>
          <w:sz w:val="24"/>
          <w:szCs w:val="24"/>
        </w:rPr>
        <w:tab/>
      </w:r>
      <w:proofErr w:type="spellStart"/>
      <w:r w:rsidRPr="00346DA7">
        <w:rPr>
          <w:sz w:val="24"/>
          <w:szCs w:val="24"/>
        </w:rPr>
        <w:t>Sheth</w:t>
      </w:r>
      <w:proofErr w:type="spellEnd"/>
      <w:r w:rsidRPr="00346DA7">
        <w:rPr>
          <w:sz w:val="24"/>
          <w:szCs w:val="24"/>
        </w:rPr>
        <w:t xml:space="preserve"> identifies the block as Holyoke, but its origin is from the Talcott (ARP, pers. obs.).</w:t>
      </w:r>
    </w:p>
    <w:p w:rsidR="005C3BCE" w:rsidRPr="00346DA7" w:rsidRDefault="005C3BCE" w:rsidP="005C3BCE">
      <w:pPr>
        <w:pStyle w:val="FootnoteText"/>
        <w:ind w:left="360" w:hanging="360"/>
        <w:rPr>
          <w:sz w:val="24"/>
          <w:szCs w:val="24"/>
        </w:rPr>
      </w:pPr>
    </w:p>
    <w:p w:rsidR="005C3BCE" w:rsidRPr="00346DA7" w:rsidRDefault="005C3BCE" w:rsidP="005C3BCE">
      <w:pPr>
        <w:pStyle w:val="FootnoteText"/>
        <w:ind w:left="360" w:hanging="360"/>
        <w:rPr>
          <w:color w:val="000000"/>
          <w:sz w:val="24"/>
          <w:szCs w:val="24"/>
        </w:rPr>
      </w:pPr>
      <w:r w:rsidRPr="00346DA7">
        <w:rPr>
          <w:rStyle w:val="FootnoteReference"/>
          <w:sz w:val="24"/>
          <w:szCs w:val="24"/>
        </w:rPr>
        <w:t>8</w:t>
      </w:r>
      <w:r w:rsidRPr="00346DA7">
        <w:rPr>
          <w:sz w:val="24"/>
          <w:szCs w:val="24"/>
          <w:vertAlign w:val="superscript"/>
        </w:rPr>
        <w:t>1</w:t>
      </w:r>
      <w:r w:rsidRPr="00346DA7">
        <w:rPr>
          <w:sz w:val="24"/>
          <w:szCs w:val="24"/>
        </w:rPr>
        <w:tab/>
      </w:r>
      <w:r w:rsidRPr="00346DA7">
        <w:rPr>
          <w:color w:val="000000"/>
          <w:sz w:val="24"/>
          <w:szCs w:val="24"/>
        </w:rPr>
        <w:t xml:space="preserve">The Moore quarry is recorded as the Davis Orchards quarry in </w:t>
      </w:r>
      <w:proofErr w:type="spellStart"/>
      <w:r w:rsidRPr="00346DA7">
        <w:rPr>
          <w:color w:val="000000"/>
          <w:sz w:val="24"/>
          <w:szCs w:val="24"/>
        </w:rPr>
        <w:t>Krynine</w:t>
      </w:r>
      <w:proofErr w:type="spellEnd"/>
      <w:r w:rsidRPr="00346DA7">
        <w:rPr>
          <w:color w:val="000000"/>
          <w:sz w:val="24"/>
          <w:szCs w:val="24"/>
        </w:rPr>
        <w:t xml:space="preserve"> (1950) and </w:t>
      </w:r>
      <w:proofErr w:type="spellStart"/>
      <w:r w:rsidRPr="00346DA7">
        <w:rPr>
          <w:color w:val="000000"/>
          <w:sz w:val="24"/>
          <w:szCs w:val="24"/>
        </w:rPr>
        <w:t>Hanshaw</w:t>
      </w:r>
      <w:proofErr w:type="spellEnd"/>
      <w:r w:rsidRPr="00346DA7">
        <w:rPr>
          <w:color w:val="000000"/>
          <w:sz w:val="24"/>
          <w:szCs w:val="24"/>
        </w:rPr>
        <w:t xml:space="preserve"> (1968). It may have changed hands several times, but the historically appropriate name is Moore Quarry, more formally, the R. Moore and Sons Quarry (Andrews, 1924). The Moore Quarry is identified as being on the west side of Andrews Street. The Roswell Moore II House is on the same side of the street about 420 m north of the quarry, across from the Wassel Reservoir. Wassel Reservoir is named after David Wassel, who was lost at sea in the 1963 sinking of the USS Thresher in 1963 [Anonymous (2019)]. The Roswell Moore’s house location is identified in website, and references therein, dedicated to Sheldon Moore [Anonymous (2018)] and verified from details given in Andrews (1924)</w:t>
      </w:r>
      <w:r w:rsidRPr="00346DA7">
        <w:rPr>
          <w:color w:val="000000"/>
          <w:sz w:val="24"/>
          <w:szCs w:val="24"/>
        </w:rPr>
        <w:t>.</w:t>
      </w:r>
    </w:p>
    <w:p w:rsidR="005C3BCE" w:rsidRPr="00346DA7" w:rsidRDefault="005C3BCE" w:rsidP="005C3BCE">
      <w:pPr>
        <w:pStyle w:val="FootnoteText"/>
        <w:ind w:left="360" w:hanging="360"/>
        <w:rPr>
          <w:color w:val="000000"/>
          <w:sz w:val="24"/>
          <w:szCs w:val="24"/>
        </w:rPr>
      </w:pPr>
    </w:p>
    <w:p w:rsidR="005C02A4" w:rsidRPr="00346DA7" w:rsidRDefault="005C3BCE" w:rsidP="005C02A4">
      <w:pPr>
        <w:pStyle w:val="FootnoteText"/>
        <w:ind w:left="360" w:hanging="360"/>
        <w:rPr>
          <w:sz w:val="24"/>
          <w:szCs w:val="24"/>
        </w:rPr>
      </w:pPr>
      <w:r w:rsidRPr="00346DA7">
        <w:rPr>
          <w:rStyle w:val="FootnoteReference"/>
          <w:sz w:val="24"/>
          <w:szCs w:val="24"/>
        </w:rPr>
        <w:t>8</w:t>
      </w:r>
      <w:r w:rsidRPr="00346DA7">
        <w:rPr>
          <w:sz w:val="24"/>
          <w:szCs w:val="24"/>
          <w:vertAlign w:val="superscript"/>
        </w:rPr>
        <w:t>2</w:t>
      </w:r>
      <w:r w:rsidRPr="00346DA7">
        <w:rPr>
          <w:sz w:val="24"/>
          <w:szCs w:val="24"/>
        </w:rPr>
        <w:tab/>
      </w:r>
      <w:r w:rsidRPr="00346DA7">
        <w:rPr>
          <w:sz w:val="24"/>
          <w:szCs w:val="24"/>
        </w:rPr>
        <w:t xml:space="preserve">The Shuttle Meadow Formation was named by Lehman (1959) for strata called “Anterior Shales” by Percival (1842) and Davis (1888, 1898), Lower Sedimentary Division of the Meriden Formation by </w:t>
      </w:r>
      <w:proofErr w:type="spellStart"/>
      <w:r w:rsidRPr="00346DA7">
        <w:rPr>
          <w:sz w:val="24"/>
          <w:szCs w:val="24"/>
        </w:rPr>
        <w:t>Krynine</w:t>
      </w:r>
      <w:proofErr w:type="spellEnd"/>
      <w:r w:rsidRPr="00346DA7">
        <w:rPr>
          <w:sz w:val="24"/>
          <w:szCs w:val="24"/>
        </w:rPr>
        <w:t xml:space="preserve"> (1950). In naming the unit, Lehman referenced an outcrop described by </w:t>
      </w:r>
      <w:proofErr w:type="spellStart"/>
      <w:r w:rsidRPr="00346DA7">
        <w:rPr>
          <w:sz w:val="24"/>
          <w:szCs w:val="24"/>
        </w:rPr>
        <w:t>Krynine</w:t>
      </w:r>
      <w:proofErr w:type="spellEnd"/>
      <w:r w:rsidRPr="00346DA7">
        <w:rPr>
          <w:sz w:val="24"/>
          <w:szCs w:val="24"/>
        </w:rPr>
        <w:t xml:space="preserve"> (1950, p. 58; 60-61; fig. 4) as the Shuttle Meadow Formation type section. </w:t>
      </w:r>
      <w:proofErr w:type="spellStart"/>
      <w:r w:rsidRPr="00346DA7">
        <w:rPr>
          <w:sz w:val="24"/>
          <w:szCs w:val="24"/>
        </w:rPr>
        <w:t>Krynine’s</w:t>
      </w:r>
      <w:proofErr w:type="spellEnd"/>
      <w:r w:rsidRPr="00346DA7">
        <w:rPr>
          <w:sz w:val="24"/>
          <w:szCs w:val="24"/>
        </w:rPr>
        <w:t xml:space="preserve"> (1950, p. 58) location of these sections, which he called the “lacustrine environment prototype” of the “Meriden Formation”, only identifies “the outcrop on the southern shore of Shuttle Meadow Reservoir, between Meriden and New Britain (his localities 29 and 30).” </w:t>
      </w:r>
      <w:proofErr w:type="spellStart"/>
      <w:r w:rsidRPr="00346DA7">
        <w:rPr>
          <w:sz w:val="24"/>
          <w:szCs w:val="24"/>
        </w:rPr>
        <w:t>Krynine</w:t>
      </w:r>
      <w:proofErr w:type="spellEnd"/>
      <w:r w:rsidRPr="00346DA7">
        <w:rPr>
          <w:sz w:val="24"/>
          <w:szCs w:val="24"/>
        </w:rPr>
        <w:t xml:space="preserve"> (1950, p. 60-61) refers to these outcrops as “the typical sections”, and provides an 18.5 m-thick measured section, with a covered interval (his “unit d”) separating his localities 29 and 30. We suspect </w:t>
      </w:r>
      <w:proofErr w:type="spellStart"/>
      <w:r w:rsidRPr="00346DA7">
        <w:rPr>
          <w:sz w:val="24"/>
          <w:szCs w:val="24"/>
        </w:rPr>
        <w:t>Krynine</w:t>
      </w:r>
      <w:proofErr w:type="spellEnd"/>
      <w:r w:rsidRPr="00346DA7">
        <w:rPr>
          <w:sz w:val="24"/>
          <w:szCs w:val="24"/>
        </w:rPr>
        <w:t xml:space="preserve"> intended both these localities to be represented by the measured section because the title of the table is “Section at </w:t>
      </w:r>
      <w:proofErr w:type="spellStart"/>
      <w:r w:rsidRPr="00346DA7">
        <w:rPr>
          <w:sz w:val="24"/>
          <w:szCs w:val="24"/>
        </w:rPr>
        <w:t>locs</w:t>
      </w:r>
      <w:proofErr w:type="spellEnd"/>
      <w:r w:rsidRPr="00346DA7">
        <w:rPr>
          <w:sz w:val="24"/>
          <w:szCs w:val="24"/>
        </w:rPr>
        <w:t xml:space="preserve">. 29 and 30, Shuttle Meadow reservoir”. Our own measured section (Fig. </w:t>
      </w:r>
      <w:r w:rsidR="005C02A4" w:rsidRPr="00346DA7">
        <w:rPr>
          <w:sz w:val="24"/>
          <w:szCs w:val="24"/>
        </w:rPr>
        <w:t>39</w:t>
      </w:r>
      <w:r w:rsidRPr="00346DA7">
        <w:rPr>
          <w:sz w:val="24"/>
          <w:szCs w:val="24"/>
        </w:rPr>
        <w:t xml:space="preserve">) at these sites is closely comparable to that of </w:t>
      </w:r>
      <w:proofErr w:type="spellStart"/>
      <w:r w:rsidRPr="00346DA7">
        <w:rPr>
          <w:sz w:val="24"/>
          <w:szCs w:val="24"/>
        </w:rPr>
        <w:t>Krynine’s</w:t>
      </w:r>
      <w:proofErr w:type="spellEnd"/>
      <w:r w:rsidRPr="00346DA7">
        <w:rPr>
          <w:sz w:val="24"/>
          <w:szCs w:val="24"/>
        </w:rPr>
        <w:t xml:space="preserve">. The process of measuring the section at the outcrops on the north and south sides at Stop 3 indicates that both are needed to get from the limestone at the base of the section to red beds at the top of the local section. Much of this section is duplicated at the outcrops directly on the east side of Andrews Street, north of its intersection with Long Bottom Road. There is then a gap in the exposures followed by section of exposed of purplish hard siltstone. But this upper interval is not recorded by </w:t>
      </w:r>
      <w:proofErr w:type="spellStart"/>
      <w:r w:rsidRPr="00346DA7">
        <w:rPr>
          <w:sz w:val="24"/>
          <w:szCs w:val="24"/>
        </w:rPr>
        <w:t>Krynine</w:t>
      </w:r>
      <w:proofErr w:type="spellEnd"/>
      <w:r w:rsidRPr="00346DA7">
        <w:rPr>
          <w:sz w:val="24"/>
          <w:szCs w:val="24"/>
        </w:rPr>
        <w:t>, leading us to think that it was not intended to be part of his section.</w:t>
      </w:r>
    </w:p>
    <w:p w:rsidR="002679CD" w:rsidRPr="00346DA7" w:rsidRDefault="005C02A4" w:rsidP="002679CD">
      <w:pPr>
        <w:pStyle w:val="FootnoteText"/>
        <w:ind w:left="360" w:hanging="360"/>
        <w:rPr>
          <w:sz w:val="24"/>
          <w:szCs w:val="24"/>
        </w:rPr>
      </w:pPr>
      <w:r w:rsidRPr="00346DA7">
        <w:rPr>
          <w:sz w:val="24"/>
          <w:szCs w:val="24"/>
          <w:vertAlign w:val="superscript"/>
        </w:rPr>
        <w:t>83</w:t>
      </w:r>
      <w:r w:rsidRPr="00346DA7">
        <w:rPr>
          <w:sz w:val="24"/>
          <w:szCs w:val="24"/>
        </w:rPr>
        <w:tab/>
      </w:r>
      <w:r w:rsidRPr="00346DA7">
        <w:rPr>
          <w:sz w:val="24"/>
          <w:szCs w:val="24"/>
        </w:rPr>
        <w:t>The Park River conveyance tunnel project diverted the Park River underground for flood control. The project began commenced in 1940 and was completed by the 1980</w:t>
      </w:r>
      <w:proofErr w:type="gramStart"/>
      <w:r w:rsidRPr="00346DA7">
        <w:rPr>
          <w:sz w:val="24"/>
          <w:szCs w:val="24"/>
        </w:rPr>
        <w:t>s .</w:t>
      </w:r>
      <w:proofErr w:type="gramEnd"/>
      <w:r w:rsidRPr="00346DA7">
        <w:rPr>
          <w:sz w:val="24"/>
          <w:szCs w:val="24"/>
        </w:rPr>
        <w:t xml:space="preserve"> Geotechnical cores for the latter parts of the project span the lower Portland Formation formed the basis for several scientific studies and theses, including </w:t>
      </w:r>
      <w:proofErr w:type="spellStart"/>
      <w:r w:rsidRPr="00346DA7">
        <w:rPr>
          <w:sz w:val="24"/>
          <w:szCs w:val="24"/>
        </w:rPr>
        <w:t>Zerezghi</w:t>
      </w:r>
      <w:proofErr w:type="spellEnd"/>
      <w:r w:rsidRPr="00346DA7">
        <w:rPr>
          <w:sz w:val="24"/>
          <w:szCs w:val="24"/>
        </w:rPr>
        <w:t xml:space="preserve"> (2007), Whiteside et al. (2007), Kent and Olsen (2008), Schaller et al. (2012), and Kent et al. (2017). These cores are now curated in the Randolph P. Steinen Core Repository of the Connecticut Geological Survey in Portland, Connecticut (CT DEEP).</w:t>
      </w:r>
    </w:p>
    <w:p w:rsidR="002679CD" w:rsidRPr="00346DA7" w:rsidRDefault="002679CD" w:rsidP="002679CD">
      <w:pPr>
        <w:pStyle w:val="FootnoteText"/>
        <w:ind w:left="360" w:hanging="360"/>
        <w:rPr>
          <w:sz w:val="24"/>
          <w:szCs w:val="24"/>
        </w:rPr>
      </w:pPr>
    </w:p>
    <w:p w:rsidR="008A6CDC" w:rsidRPr="00346DA7" w:rsidRDefault="002679CD" w:rsidP="008A6CDC">
      <w:pPr>
        <w:pStyle w:val="FootnoteText"/>
        <w:ind w:left="360" w:hanging="360"/>
        <w:rPr>
          <w:sz w:val="24"/>
          <w:szCs w:val="24"/>
        </w:rPr>
      </w:pPr>
      <w:r w:rsidRPr="00346DA7">
        <w:rPr>
          <w:sz w:val="24"/>
          <w:szCs w:val="24"/>
          <w:vertAlign w:val="superscript"/>
        </w:rPr>
        <w:t>84</w:t>
      </w:r>
      <w:r w:rsidRPr="00346DA7">
        <w:rPr>
          <w:sz w:val="24"/>
          <w:szCs w:val="24"/>
        </w:rPr>
        <w:tab/>
      </w:r>
      <w:r w:rsidRPr="00346DA7">
        <w:rPr>
          <w:sz w:val="24"/>
          <w:szCs w:val="24"/>
        </w:rPr>
        <w:t>Sources (left to right): https://www.mediastorehouse.com/heritage-images/main-street-bridge-hartford-1874-19665995.html; https://ctdigitalarchive.org/node/109941; https://mpetroff.net/2014/08/canoeing-the-park-river-under-hartford/; https://www.google.com/maps/@41.7624115,-72.6753632,3a,33.4y,98.24h,94.22t/data=!3m6!1e1!3m4!1ss1Kq_sjre7LOLXeo5veI7w!2e0!7i16384!8i8192?coh=205409&amp;entry=ttu</w:t>
      </w:r>
    </w:p>
    <w:p w:rsidR="008A6CDC" w:rsidRPr="00346DA7" w:rsidRDefault="008A6CDC" w:rsidP="008A6CDC">
      <w:pPr>
        <w:pStyle w:val="FootnoteText"/>
        <w:ind w:left="360" w:hanging="360"/>
        <w:rPr>
          <w:sz w:val="24"/>
          <w:szCs w:val="24"/>
        </w:rPr>
      </w:pPr>
    </w:p>
    <w:p w:rsidR="008A6CDC" w:rsidRPr="00346DA7" w:rsidRDefault="008A6CDC" w:rsidP="008A6CDC">
      <w:pPr>
        <w:pStyle w:val="FootnoteText"/>
        <w:ind w:left="360" w:hanging="360"/>
        <w:rPr>
          <w:sz w:val="24"/>
          <w:szCs w:val="24"/>
        </w:rPr>
      </w:pPr>
      <w:r w:rsidRPr="00346DA7">
        <w:rPr>
          <w:sz w:val="24"/>
          <w:szCs w:val="24"/>
          <w:vertAlign w:val="superscript"/>
        </w:rPr>
        <w:t>85</w:t>
      </w:r>
      <w:r w:rsidRPr="00346DA7">
        <w:rPr>
          <w:sz w:val="24"/>
          <w:szCs w:val="24"/>
        </w:rPr>
        <w:tab/>
      </w:r>
      <w:r w:rsidRPr="00346DA7">
        <w:rPr>
          <w:sz w:val="24"/>
          <w:szCs w:val="24"/>
        </w:rPr>
        <w:t>At 40.993070°, -74.279561°</w:t>
      </w:r>
    </w:p>
    <w:p w:rsidR="008A6CDC" w:rsidRPr="00346DA7" w:rsidRDefault="008A6CDC" w:rsidP="008A6CDC">
      <w:pPr>
        <w:pStyle w:val="FootnoteText"/>
        <w:ind w:left="360" w:hanging="360"/>
        <w:rPr>
          <w:sz w:val="24"/>
          <w:szCs w:val="24"/>
        </w:rPr>
      </w:pPr>
    </w:p>
    <w:p w:rsidR="008A6CDC" w:rsidRPr="00346DA7" w:rsidRDefault="008A6CDC" w:rsidP="008A6CDC">
      <w:pPr>
        <w:pStyle w:val="FootnoteText"/>
        <w:ind w:left="360" w:hanging="360"/>
        <w:rPr>
          <w:sz w:val="24"/>
          <w:szCs w:val="24"/>
        </w:rPr>
      </w:pPr>
      <w:r w:rsidRPr="00346DA7">
        <w:rPr>
          <w:sz w:val="24"/>
          <w:szCs w:val="24"/>
          <w:vertAlign w:val="superscript"/>
        </w:rPr>
        <w:t>86</w:t>
      </w:r>
      <w:r w:rsidRPr="00346DA7">
        <w:rPr>
          <w:sz w:val="24"/>
          <w:szCs w:val="24"/>
        </w:rPr>
        <w:tab/>
      </w:r>
      <w:r w:rsidRPr="00346DA7">
        <w:rPr>
          <w:sz w:val="24"/>
          <w:szCs w:val="24"/>
        </w:rPr>
        <w:t xml:space="preserve">Using Li’s (2020) program, </w:t>
      </w:r>
      <w:proofErr w:type="spellStart"/>
      <w:r w:rsidRPr="00346DA7">
        <w:rPr>
          <w:sz w:val="24"/>
          <w:szCs w:val="24"/>
        </w:rPr>
        <w:t>Acycle</w:t>
      </w:r>
      <w:proofErr w:type="spellEnd"/>
      <w:r w:rsidRPr="00346DA7">
        <w:rPr>
          <w:sz w:val="24"/>
          <w:szCs w:val="24"/>
        </w:rPr>
        <w:t xml:space="preserve"> v. 2.8.0, with a test sedimentation rate range of 40 to 100 cm/kyr, 400 trials, a middle age range of 201 Ma, fit to precession modulation, and Tanner bandpass cut-off frequencies of 0.035 and 0.065, and a Spearman correlation method.</w:t>
      </w:r>
    </w:p>
    <w:p w:rsidR="008A6CDC" w:rsidRPr="00346DA7" w:rsidRDefault="008A6CDC" w:rsidP="002679CD">
      <w:pPr>
        <w:pStyle w:val="FootnoteText"/>
        <w:ind w:left="360" w:hanging="360"/>
        <w:rPr>
          <w:sz w:val="36"/>
          <w:szCs w:val="36"/>
        </w:rPr>
      </w:pPr>
    </w:p>
    <w:p w:rsidR="002679CD" w:rsidRPr="00346DA7" w:rsidRDefault="002679CD" w:rsidP="005C02A4">
      <w:pPr>
        <w:pStyle w:val="FootnoteText"/>
        <w:ind w:left="360" w:hanging="360"/>
        <w:rPr>
          <w:sz w:val="24"/>
          <w:szCs w:val="24"/>
        </w:rPr>
      </w:pPr>
    </w:p>
    <w:p w:rsidR="005C02A4" w:rsidRPr="00346DA7" w:rsidRDefault="005C02A4" w:rsidP="005C3BCE">
      <w:pPr>
        <w:pStyle w:val="FootnoteText"/>
        <w:ind w:left="360" w:hanging="360"/>
        <w:rPr>
          <w:sz w:val="24"/>
          <w:szCs w:val="24"/>
        </w:rPr>
      </w:pPr>
    </w:p>
    <w:p w:rsidR="005C3BCE" w:rsidRPr="00346DA7" w:rsidRDefault="005C3BCE" w:rsidP="00457645">
      <w:pPr>
        <w:pStyle w:val="FootnoteText"/>
        <w:ind w:left="360" w:hanging="360"/>
        <w:rPr>
          <w:sz w:val="24"/>
          <w:szCs w:val="24"/>
        </w:rPr>
      </w:pPr>
    </w:p>
    <w:p w:rsidR="00457645" w:rsidRPr="00346DA7" w:rsidRDefault="00457645" w:rsidP="00B97447">
      <w:pPr>
        <w:pStyle w:val="FootnoteText"/>
        <w:ind w:left="360" w:hanging="360"/>
        <w:rPr>
          <w:sz w:val="24"/>
          <w:szCs w:val="24"/>
        </w:rPr>
      </w:pPr>
    </w:p>
    <w:p w:rsidR="00B97447" w:rsidRPr="00346DA7" w:rsidRDefault="00B97447" w:rsidP="008D4EF1">
      <w:pPr>
        <w:pStyle w:val="FootnoteText"/>
        <w:ind w:left="360" w:hanging="360"/>
        <w:rPr>
          <w:sz w:val="24"/>
          <w:szCs w:val="24"/>
        </w:rPr>
      </w:pPr>
    </w:p>
    <w:p w:rsidR="004376E1" w:rsidRPr="00346DA7" w:rsidRDefault="004376E1" w:rsidP="00AC711B">
      <w:pPr>
        <w:pStyle w:val="FootnoteText"/>
        <w:ind w:left="360" w:hanging="360"/>
        <w:rPr>
          <w:sz w:val="36"/>
          <w:szCs w:val="36"/>
        </w:rPr>
      </w:pPr>
    </w:p>
    <w:p w:rsidR="00AC711B" w:rsidRPr="00346DA7" w:rsidRDefault="00AC711B" w:rsidP="00AC711B">
      <w:pPr>
        <w:pStyle w:val="FootnoteText"/>
        <w:ind w:left="360" w:hanging="360"/>
        <w:rPr>
          <w:sz w:val="24"/>
          <w:szCs w:val="24"/>
        </w:rPr>
      </w:pPr>
    </w:p>
    <w:p w:rsidR="00527579" w:rsidRPr="00346DA7" w:rsidRDefault="00527579" w:rsidP="00AD2F02">
      <w:pPr>
        <w:pStyle w:val="FootnoteText"/>
        <w:ind w:left="360" w:hanging="360"/>
        <w:rPr>
          <w:sz w:val="24"/>
          <w:szCs w:val="24"/>
        </w:rPr>
      </w:pPr>
    </w:p>
    <w:p w:rsidR="00AD2F02" w:rsidRPr="00346DA7" w:rsidRDefault="00AD2F02" w:rsidP="007A6680">
      <w:pPr>
        <w:pStyle w:val="FootnoteText"/>
        <w:ind w:left="360" w:hanging="360"/>
        <w:rPr>
          <w:sz w:val="24"/>
          <w:szCs w:val="24"/>
        </w:rPr>
      </w:pPr>
    </w:p>
    <w:p w:rsidR="00816DF0" w:rsidRPr="00346DA7" w:rsidRDefault="00816DF0" w:rsidP="005C37D6">
      <w:pPr>
        <w:pStyle w:val="FootnoteText"/>
        <w:ind w:left="360" w:hanging="360"/>
        <w:rPr>
          <w:rStyle w:val="Emphasis"/>
          <w:i w:val="0"/>
          <w:iCs w:val="0"/>
          <w:sz w:val="24"/>
          <w:szCs w:val="24"/>
        </w:rPr>
      </w:pPr>
    </w:p>
    <w:p w:rsidR="005C37D6" w:rsidRPr="00346DA7" w:rsidRDefault="005C37D6" w:rsidP="005C37D6">
      <w:pPr>
        <w:pStyle w:val="FootnoteText"/>
        <w:ind w:left="360" w:hanging="360"/>
        <w:rPr>
          <w:rStyle w:val="Emphasis"/>
          <w:i w:val="0"/>
          <w:iCs w:val="0"/>
          <w:sz w:val="24"/>
          <w:szCs w:val="24"/>
        </w:rPr>
      </w:pPr>
    </w:p>
    <w:p w:rsidR="005C37D6" w:rsidRPr="00346DA7" w:rsidRDefault="005C37D6" w:rsidP="005C37D6">
      <w:pPr>
        <w:pStyle w:val="FootnoteText"/>
        <w:ind w:left="360" w:hanging="360"/>
        <w:rPr>
          <w:sz w:val="24"/>
          <w:szCs w:val="24"/>
        </w:rPr>
      </w:pPr>
    </w:p>
    <w:p w:rsidR="005C37D6" w:rsidRPr="00346DA7" w:rsidRDefault="005C37D6" w:rsidP="005C37D6">
      <w:pPr>
        <w:pStyle w:val="FootnoteText"/>
        <w:ind w:left="360" w:hanging="360"/>
        <w:rPr>
          <w:sz w:val="36"/>
          <w:szCs w:val="36"/>
        </w:rPr>
      </w:pPr>
    </w:p>
    <w:p w:rsidR="005C37D6" w:rsidRPr="00346DA7" w:rsidRDefault="005C37D6" w:rsidP="009A1547">
      <w:pPr>
        <w:pStyle w:val="FootnoteText"/>
        <w:ind w:left="360" w:hanging="360"/>
        <w:rPr>
          <w:sz w:val="24"/>
          <w:szCs w:val="24"/>
        </w:rPr>
      </w:pPr>
    </w:p>
    <w:p w:rsidR="009A1547" w:rsidRPr="00346DA7" w:rsidRDefault="009A1547" w:rsidP="00973B8F">
      <w:pPr>
        <w:pStyle w:val="FootnoteText"/>
        <w:ind w:left="360" w:hanging="360"/>
        <w:rPr>
          <w:sz w:val="24"/>
          <w:szCs w:val="24"/>
        </w:rPr>
      </w:pPr>
    </w:p>
    <w:p w:rsidR="00973B8F" w:rsidRPr="00346DA7" w:rsidRDefault="00973B8F" w:rsidP="00C25CA3">
      <w:pPr>
        <w:pStyle w:val="FootnoteText"/>
        <w:ind w:left="360" w:hanging="360"/>
        <w:rPr>
          <w:sz w:val="36"/>
          <w:szCs w:val="36"/>
        </w:rPr>
      </w:pPr>
    </w:p>
    <w:p w:rsidR="00C25CA3" w:rsidRPr="00346DA7" w:rsidRDefault="00C25CA3" w:rsidP="00253612">
      <w:pPr>
        <w:pStyle w:val="FootnoteText"/>
        <w:ind w:left="360" w:hanging="360"/>
        <w:rPr>
          <w:sz w:val="24"/>
          <w:szCs w:val="24"/>
        </w:rPr>
      </w:pPr>
    </w:p>
    <w:p w:rsidR="00253612" w:rsidRPr="00346DA7" w:rsidRDefault="00253612" w:rsidP="003D1677">
      <w:pPr>
        <w:pStyle w:val="FootnoteText"/>
        <w:ind w:left="360" w:hanging="360"/>
        <w:rPr>
          <w:sz w:val="24"/>
          <w:szCs w:val="24"/>
        </w:rPr>
      </w:pPr>
    </w:p>
    <w:p w:rsidR="003801E8" w:rsidRPr="00346DA7" w:rsidRDefault="003801E8" w:rsidP="003D1677">
      <w:pPr>
        <w:pStyle w:val="FootnoteText"/>
        <w:ind w:left="360" w:hanging="360"/>
        <w:rPr>
          <w:sz w:val="24"/>
          <w:szCs w:val="24"/>
        </w:rPr>
      </w:pPr>
    </w:p>
    <w:p w:rsidR="003801E8" w:rsidRPr="00346DA7" w:rsidRDefault="003801E8" w:rsidP="003D1677">
      <w:pPr>
        <w:pStyle w:val="FootnoteText"/>
        <w:ind w:left="360" w:hanging="360"/>
        <w:rPr>
          <w:sz w:val="24"/>
          <w:szCs w:val="24"/>
        </w:rPr>
      </w:pPr>
    </w:p>
    <w:p w:rsidR="003D1677" w:rsidRPr="00346DA7" w:rsidRDefault="003D1677" w:rsidP="007955F3">
      <w:pPr>
        <w:pStyle w:val="FootnoteText"/>
        <w:ind w:left="360" w:hanging="360"/>
        <w:rPr>
          <w:sz w:val="24"/>
          <w:szCs w:val="24"/>
        </w:rPr>
      </w:pPr>
    </w:p>
    <w:p w:rsidR="007955F3" w:rsidRPr="00346DA7" w:rsidRDefault="007955F3" w:rsidP="007955F3">
      <w:pPr>
        <w:pStyle w:val="FootnoteText"/>
        <w:ind w:left="360" w:hanging="360"/>
        <w:rPr>
          <w:sz w:val="24"/>
          <w:szCs w:val="24"/>
        </w:rPr>
      </w:pPr>
    </w:p>
    <w:p w:rsidR="00756528" w:rsidRPr="00346DA7" w:rsidRDefault="00756528" w:rsidP="00E45CFF">
      <w:pPr>
        <w:pStyle w:val="FootnoteText"/>
        <w:ind w:left="360" w:hanging="360"/>
        <w:rPr>
          <w:sz w:val="24"/>
          <w:szCs w:val="24"/>
        </w:rPr>
      </w:pPr>
    </w:p>
    <w:p w:rsidR="00756528" w:rsidRPr="00346DA7" w:rsidRDefault="00756528" w:rsidP="00E45CFF">
      <w:pPr>
        <w:pStyle w:val="FootnoteText"/>
        <w:ind w:left="360" w:hanging="360"/>
        <w:rPr>
          <w:sz w:val="24"/>
          <w:szCs w:val="24"/>
        </w:rPr>
      </w:pPr>
    </w:p>
    <w:p w:rsidR="00E45CFF" w:rsidRPr="00346DA7" w:rsidRDefault="00E45CFF" w:rsidP="00E45CFF">
      <w:pPr>
        <w:pStyle w:val="FootnoteText"/>
        <w:ind w:left="360" w:hanging="360"/>
        <w:rPr>
          <w:sz w:val="24"/>
          <w:szCs w:val="24"/>
        </w:rPr>
      </w:pPr>
    </w:p>
    <w:p w:rsidR="00E45CFF" w:rsidRPr="00346DA7" w:rsidRDefault="00E45CFF" w:rsidP="00F66700">
      <w:pPr>
        <w:pStyle w:val="FootnoteText"/>
        <w:ind w:left="360" w:hanging="360"/>
        <w:rPr>
          <w:sz w:val="24"/>
          <w:szCs w:val="24"/>
        </w:rPr>
      </w:pPr>
    </w:p>
    <w:p w:rsidR="00F66700" w:rsidRPr="00346DA7" w:rsidRDefault="00F66700" w:rsidP="00D843E7">
      <w:pPr>
        <w:pStyle w:val="FootnoteText"/>
        <w:ind w:left="360" w:hanging="360"/>
        <w:rPr>
          <w:sz w:val="24"/>
          <w:szCs w:val="24"/>
        </w:rPr>
      </w:pPr>
    </w:p>
    <w:p w:rsidR="00F66700" w:rsidRPr="00346DA7" w:rsidRDefault="00F66700" w:rsidP="00D843E7">
      <w:pPr>
        <w:pStyle w:val="FootnoteText"/>
        <w:ind w:left="360" w:hanging="360"/>
        <w:rPr>
          <w:rFonts w:cs="Times New Roman"/>
          <w:sz w:val="24"/>
          <w:szCs w:val="24"/>
        </w:rPr>
      </w:pPr>
    </w:p>
    <w:p w:rsidR="006C6259" w:rsidRPr="00346DA7" w:rsidRDefault="006C6259" w:rsidP="00D843E7">
      <w:pPr>
        <w:pStyle w:val="FootnoteText"/>
        <w:ind w:left="360" w:hanging="360"/>
      </w:pPr>
    </w:p>
    <w:p w:rsidR="006C6259" w:rsidRPr="00346DA7" w:rsidRDefault="006C6259" w:rsidP="00D843E7">
      <w:pPr>
        <w:pStyle w:val="FootnoteText"/>
        <w:ind w:left="360" w:hanging="360"/>
      </w:pPr>
    </w:p>
    <w:p w:rsidR="00AD20E4" w:rsidRPr="00346DA7" w:rsidRDefault="00AD20E4" w:rsidP="00D843E7">
      <w:pPr>
        <w:pStyle w:val="FootnoteText"/>
        <w:ind w:left="360" w:hanging="360"/>
        <w:rPr>
          <w:sz w:val="24"/>
          <w:szCs w:val="24"/>
        </w:rPr>
      </w:pPr>
    </w:p>
    <w:p w:rsidR="00E33419" w:rsidRPr="00346DA7" w:rsidRDefault="00E33419" w:rsidP="00D843E7">
      <w:pPr>
        <w:pStyle w:val="FootnoteText"/>
        <w:ind w:left="360" w:hanging="360"/>
        <w:rPr>
          <w:sz w:val="32"/>
          <w:szCs w:val="32"/>
        </w:rPr>
      </w:pPr>
    </w:p>
    <w:p w:rsidR="00642B3A" w:rsidRPr="00346DA7" w:rsidRDefault="00642B3A" w:rsidP="00D843E7">
      <w:pPr>
        <w:pStyle w:val="FootnoteText"/>
        <w:ind w:left="360" w:hanging="360"/>
        <w:rPr>
          <w:sz w:val="24"/>
          <w:szCs w:val="24"/>
        </w:rPr>
      </w:pPr>
    </w:p>
    <w:p w:rsidR="00371BA3" w:rsidRPr="00346DA7" w:rsidRDefault="00371BA3" w:rsidP="00D843E7">
      <w:pPr>
        <w:pStyle w:val="FootnoteText"/>
        <w:ind w:left="360" w:hanging="360"/>
        <w:rPr>
          <w:sz w:val="24"/>
          <w:szCs w:val="24"/>
        </w:rPr>
      </w:pPr>
    </w:p>
    <w:p w:rsidR="00DF7F35" w:rsidRPr="00346DA7" w:rsidRDefault="00DF7F35" w:rsidP="00D843E7">
      <w:pPr>
        <w:pStyle w:val="FootnoteText"/>
        <w:ind w:left="360" w:hanging="360"/>
        <w:rPr>
          <w:sz w:val="36"/>
          <w:szCs w:val="36"/>
        </w:rPr>
      </w:pPr>
    </w:p>
    <w:p w:rsidR="00237B44" w:rsidRPr="00346DA7" w:rsidRDefault="00237B44" w:rsidP="00D843E7">
      <w:pPr>
        <w:pStyle w:val="FootnoteText"/>
        <w:ind w:left="360" w:hanging="360"/>
        <w:rPr>
          <w:sz w:val="36"/>
          <w:szCs w:val="36"/>
        </w:rPr>
      </w:pPr>
    </w:p>
    <w:p w:rsidR="00F75B37" w:rsidRPr="00346DA7" w:rsidRDefault="00F75B37" w:rsidP="00D843E7">
      <w:pPr>
        <w:pStyle w:val="FootnoteText"/>
        <w:ind w:left="360" w:hanging="360"/>
        <w:rPr>
          <w:sz w:val="36"/>
          <w:szCs w:val="36"/>
        </w:rPr>
      </w:pPr>
    </w:p>
    <w:p w:rsidR="00F75B37" w:rsidRPr="00346DA7" w:rsidRDefault="00F75B37" w:rsidP="00D843E7">
      <w:pPr>
        <w:pStyle w:val="FootnoteText"/>
        <w:ind w:left="360" w:hanging="360"/>
        <w:rPr>
          <w:sz w:val="36"/>
          <w:szCs w:val="36"/>
        </w:rPr>
      </w:pPr>
    </w:p>
    <w:p w:rsidR="00F75B37" w:rsidRPr="00346DA7" w:rsidRDefault="00F75B37" w:rsidP="00D843E7">
      <w:pPr>
        <w:pStyle w:val="FootnoteText"/>
        <w:ind w:left="360" w:hanging="360"/>
        <w:rPr>
          <w:sz w:val="24"/>
          <w:szCs w:val="24"/>
        </w:rPr>
      </w:pPr>
    </w:p>
    <w:p w:rsidR="00F75B37" w:rsidRPr="00346DA7" w:rsidRDefault="00F75B37" w:rsidP="00D843E7">
      <w:pPr>
        <w:pStyle w:val="FootnoteText"/>
        <w:ind w:left="360" w:hanging="360"/>
        <w:rPr>
          <w:sz w:val="21"/>
          <w:szCs w:val="21"/>
        </w:rPr>
      </w:pPr>
    </w:p>
    <w:p w:rsidR="005771A3" w:rsidRPr="00346DA7" w:rsidRDefault="005771A3" w:rsidP="00D843E7">
      <w:pPr>
        <w:tabs>
          <w:tab w:val="left" w:pos="360"/>
        </w:tabs>
        <w:ind w:left="360" w:hanging="360"/>
      </w:pPr>
    </w:p>
    <w:p w:rsidR="0067271A" w:rsidRPr="00346DA7" w:rsidRDefault="0067271A" w:rsidP="00D843E7">
      <w:pPr>
        <w:tabs>
          <w:tab w:val="left" w:pos="360"/>
        </w:tabs>
        <w:ind w:left="360" w:hanging="360"/>
      </w:pPr>
    </w:p>
    <w:p w:rsidR="0067271A" w:rsidRPr="00346DA7" w:rsidRDefault="0067271A" w:rsidP="00D843E7">
      <w:pPr>
        <w:tabs>
          <w:tab w:val="left" w:pos="360"/>
        </w:tabs>
        <w:ind w:left="360" w:hanging="360"/>
      </w:pPr>
    </w:p>
    <w:p w:rsidR="0067271A" w:rsidRPr="00346DA7" w:rsidRDefault="0067271A" w:rsidP="00D843E7">
      <w:pPr>
        <w:pStyle w:val="EndNoteBibliography"/>
        <w:tabs>
          <w:tab w:val="left" w:pos="360"/>
        </w:tabs>
        <w:ind w:left="360" w:hanging="360"/>
        <w:rPr>
          <w:noProof/>
        </w:rPr>
      </w:pPr>
      <w:r w:rsidRPr="00346DA7">
        <w:fldChar w:fldCharType="begin"/>
      </w:r>
      <w:r w:rsidRPr="00346DA7">
        <w:instrText xml:space="preserve"> ADDIN EN.REFLIST </w:instrText>
      </w:r>
      <w:r w:rsidRPr="00346DA7">
        <w:fldChar w:fldCharType="separate"/>
      </w:r>
      <w:r w:rsidRPr="00346DA7">
        <w:rPr>
          <w:noProof/>
        </w:rPr>
        <w:t>1.</w:t>
      </w:r>
      <w:r w:rsidRPr="00346DA7">
        <w:rPr>
          <w:noProof/>
        </w:rPr>
        <w:tab/>
        <w:t xml:space="preserve">D. J. Kontak, On the edge of CAMP: geology and volcanology of the Jurassic North Mountain Basalt, Nova Scotia. </w:t>
      </w:r>
      <w:r w:rsidRPr="00346DA7">
        <w:rPr>
          <w:i/>
          <w:noProof/>
        </w:rPr>
        <w:t>Lithos</w:t>
      </w:r>
      <w:r w:rsidRPr="00346DA7">
        <w:rPr>
          <w:noProof/>
        </w:rPr>
        <w:t xml:space="preserve"> </w:t>
      </w:r>
      <w:r w:rsidRPr="00346DA7">
        <w:rPr>
          <w:b/>
          <w:noProof/>
        </w:rPr>
        <w:t>101</w:t>
      </w:r>
      <w:r w:rsidRPr="00346DA7">
        <w:rPr>
          <w:noProof/>
        </w:rPr>
        <w:t>, 74-101 (2008).</w:t>
      </w:r>
    </w:p>
    <w:p w:rsidR="00F75B37" w:rsidRDefault="0067271A" w:rsidP="00D843E7">
      <w:pPr>
        <w:tabs>
          <w:tab w:val="left" w:pos="360"/>
        </w:tabs>
        <w:ind w:left="360" w:hanging="360"/>
      </w:pPr>
      <w:r w:rsidRPr="00346DA7">
        <w:fldChar w:fldCharType="end"/>
      </w:r>
    </w:p>
    <w:sectPr w:rsidR="00F75B37" w:rsidSect="00813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PNA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2p5xxv20extjesawyvsd2ltsxzzddfdsxp&quot;&gt;My EndNote Library-Converted&lt;record-ids&gt;&lt;item&gt;3991&lt;/item&gt;&lt;/record-ids&gt;&lt;/item&gt;&lt;/Libraries&gt;"/>
  </w:docVars>
  <w:rsids>
    <w:rsidRoot w:val="00F75B37"/>
    <w:rsid w:val="00001503"/>
    <w:rsid w:val="00005C99"/>
    <w:rsid w:val="000070DD"/>
    <w:rsid w:val="000074DC"/>
    <w:rsid w:val="00010A85"/>
    <w:rsid w:val="00012D5C"/>
    <w:rsid w:val="00015EE8"/>
    <w:rsid w:val="0003556F"/>
    <w:rsid w:val="00042F17"/>
    <w:rsid w:val="000443EB"/>
    <w:rsid w:val="000458AF"/>
    <w:rsid w:val="00053852"/>
    <w:rsid w:val="000549CA"/>
    <w:rsid w:val="0005526F"/>
    <w:rsid w:val="00060E57"/>
    <w:rsid w:val="00071378"/>
    <w:rsid w:val="000716AE"/>
    <w:rsid w:val="0007486D"/>
    <w:rsid w:val="000771BA"/>
    <w:rsid w:val="0007721A"/>
    <w:rsid w:val="00077662"/>
    <w:rsid w:val="00091AC4"/>
    <w:rsid w:val="00096FF3"/>
    <w:rsid w:val="000A1A2A"/>
    <w:rsid w:val="000A3F1F"/>
    <w:rsid w:val="000A6ADC"/>
    <w:rsid w:val="000B1282"/>
    <w:rsid w:val="000B12E0"/>
    <w:rsid w:val="000B7DA8"/>
    <w:rsid w:val="000C3F09"/>
    <w:rsid w:val="000C4F99"/>
    <w:rsid w:val="000C7724"/>
    <w:rsid w:val="000D4539"/>
    <w:rsid w:val="000E0CCB"/>
    <w:rsid w:val="000E72A9"/>
    <w:rsid w:val="000F1932"/>
    <w:rsid w:val="000F4864"/>
    <w:rsid w:val="000F5E59"/>
    <w:rsid w:val="00100B40"/>
    <w:rsid w:val="00104B9C"/>
    <w:rsid w:val="001079DF"/>
    <w:rsid w:val="00107D6F"/>
    <w:rsid w:val="00110300"/>
    <w:rsid w:val="00112D52"/>
    <w:rsid w:val="00122F5F"/>
    <w:rsid w:val="001252C0"/>
    <w:rsid w:val="00126BF3"/>
    <w:rsid w:val="0013677F"/>
    <w:rsid w:val="00142524"/>
    <w:rsid w:val="00150600"/>
    <w:rsid w:val="00154DC0"/>
    <w:rsid w:val="00155F88"/>
    <w:rsid w:val="00161F91"/>
    <w:rsid w:val="001638F7"/>
    <w:rsid w:val="00166E76"/>
    <w:rsid w:val="0016728A"/>
    <w:rsid w:val="00170B07"/>
    <w:rsid w:val="00174995"/>
    <w:rsid w:val="001767E2"/>
    <w:rsid w:val="00177393"/>
    <w:rsid w:val="001813A2"/>
    <w:rsid w:val="00186F2C"/>
    <w:rsid w:val="00190BC2"/>
    <w:rsid w:val="00191B14"/>
    <w:rsid w:val="001929D3"/>
    <w:rsid w:val="00194045"/>
    <w:rsid w:val="001B18DC"/>
    <w:rsid w:val="001B6162"/>
    <w:rsid w:val="001C02E7"/>
    <w:rsid w:val="001C39D0"/>
    <w:rsid w:val="001C39E0"/>
    <w:rsid w:val="001C6C2F"/>
    <w:rsid w:val="001D0350"/>
    <w:rsid w:val="001D3813"/>
    <w:rsid w:val="001D3861"/>
    <w:rsid w:val="001D7175"/>
    <w:rsid w:val="001D72E4"/>
    <w:rsid w:val="001D735A"/>
    <w:rsid w:val="001E1CD9"/>
    <w:rsid w:val="001E2555"/>
    <w:rsid w:val="001E6BC4"/>
    <w:rsid w:val="001E77DC"/>
    <w:rsid w:val="001E7E58"/>
    <w:rsid w:val="001F0587"/>
    <w:rsid w:val="001F2894"/>
    <w:rsid w:val="001F48ED"/>
    <w:rsid w:val="001F57F3"/>
    <w:rsid w:val="001F695A"/>
    <w:rsid w:val="00201CA3"/>
    <w:rsid w:val="00210F41"/>
    <w:rsid w:val="002126EF"/>
    <w:rsid w:val="002174FD"/>
    <w:rsid w:val="00217DD8"/>
    <w:rsid w:val="00221072"/>
    <w:rsid w:val="00222C87"/>
    <w:rsid w:val="002259F4"/>
    <w:rsid w:val="00226298"/>
    <w:rsid w:val="0022695E"/>
    <w:rsid w:val="002276AA"/>
    <w:rsid w:val="0022781D"/>
    <w:rsid w:val="002326B3"/>
    <w:rsid w:val="00236200"/>
    <w:rsid w:val="00237B44"/>
    <w:rsid w:val="00244073"/>
    <w:rsid w:val="002454C9"/>
    <w:rsid w:val="00247430"/>
    <w:rsid w:val="00251759"/>
    <w:rsid w:val="00251DD6"/>
    <w:rsid w:val="00253612"/>
    <w:rsid w:val="00255F5E"/>
    <w:rsid w:val="00260C22"/>
    <w:rsid w:val="00263690"/>
    <w:rsid w:val="00265A1F"/>
    <w:rsid w:val="0026735A"/>
    <w:rsid w:val="002679CD"/>
    <w:rsid w:val="00272398"/>
    <w:rsid w:val="00273728"/>
    <w:rsid w:val="00273DD1"/>
    <w:rsid w:val="00274B17"/>
    <w:rsid w:val="00276D1C"/>
    <w:rsid w:val="00276F6B"/>
    <w:rsid w:val="00280937"/>
    <w:rsid w:val="00282E35"/>
    <w:rsid w:val="00282EA6"/>
    <w:rsid w:val="0029091E"/>
    <w:rsid w:val="00291831"/>
    <w:rsid w:val="0029429D"/>
    <w:rsid w:val="002948B9"/>
    <w:rsid w:val="002A4012"/>
    <w:rsid w:val="002A51DD"/>
    <w:rsid w:val="002A703B"/>
    <w:rsid w:val="002A74D7"/>
    <w:rsid w:val="002B08AE"/>
    <w:rsid w:val="002B132D"/>
    <w:rsid w:val="002B164E"/>
    <w:rsid w:val="002B1C7A"/>
    <w:rsid w:val="002B41A0"/>
    <w:rsid w:val="002B532A"/>
    <w:rsid w:val="002C58C3"/>
    <w:rsid w:val="002C6556"/>
    <w:rsid w:val="002D17A1"/>
    <w:rsid w:val="002E171F"/>
    <w:rsid w:val="002E21A0"/>
    <w:rsid w:val="002E2D8E"/>
    <w:rsid w:val="002E3A4D"/>
    <w:rsid w:val="002E5552"/>
    <w:rsid w:val="002E5F0C"/>
    <w:rsid w:val="002F0056"/>
    <w:rsid w:val="002F051C"/>
    <w:rsid w:val="002F0998"/>
    <w:rsid w:val="002F145F"/>
    <w:rsid w:val="002F4AFE"/>
    <w:rsid w:val="002F6A31"/>
    <w:rsid w:val="002F787A"/>
    <w:rsid w:val="003018E5"/>
    <w:rsid w:val="00303EC9"/>
    <w:rsid w:val="00314436"/>
    <w:rsid w:val="003157B8"/>
    <w:rsid w:val="0031616F"/>
    <w:rsid w:val="003204A5"/>
    <w:rsid w:val="003249F7"/>
    <w:rsid w:val="00325EA2"/>
    <w:rsid w:val="00327774"/>
    <w:rsid w:val="00334B89"/>
    <w:rsid w:val="003400C2"/>
    <w:rsid w:val="00345B35"/>
    <w:rsid w:val="00346DA7"/>
    <w:rsid w:val="00347725"/>
    <w:rsid w:val="0035430D"/>
    <w:rsid w:val="003569C6"/>
    <w:rsid w:val="003577FB"/>
    <w:rsid w:val="003600A0"/>
    <w:rsid w:val="003622A0"/>
    <w:rsid w:val="0036450D"/>
    <w:rsid w:val="00371BA3"/>
    <w:rsid w:val="00380119"/>
    <w:rsid w:val="003801E8"/>
    <w:rsid w:val="003830ED"/>
    <w:rsid w:val="00384DEA"/>
    <w:rsid w:val="0039186D"/>
    <w:rsid w:val="00392EDD"/>
    <w:rsid w:val="00395546"/>
    <w:rsid w:val="003A001F"/>
    <w:rsid w:val="003A2CD9"/>
    <w:rsid w:val="003A4207"/>
    <w:rsid w:val="003A7544"/>
    <w:rsid w:val="003A76C9"/>
    <w:rsid w:val="003B08FD"/>
    <w:rsid w:val="003B5A17"/>
    <w:rsid w:val="003B6DCA"/>
    <w:rsid w:val="003D1677"/>
    <w:rsid w:val="003D3FD5"/>
    <w:rsid w:val="003E372C"/>
    <w:rsid w:val="003E38BD"/>
    <w:rsid w:val="003E3D3F"/>
    <w:rsid w:val="003F1FCF"/>
    <w:rsid w:val="003F5E08"/>
    <w:rsid w:val="003F6C0A"/>
    <w:rsid w:val="004026D8"/>
    <w:rsid w:val="0040286A"/>
    <w:rsid w:val="0041678A"/>
    <w:rsid w:val="00422FB2"/>
    <w:rsid w:val="00423B59"/>
    <w:rsid w:val="00423E56"/>
    <w:rsid w:val="004264F5"/>
    <w:rsid w:val="00426CB4"/>
    <w:rsid w:val="004328D4"/>
    <w:rsid w:val="004359E3"/>
    <w:rsid w:val="004376E1"/>
    <w:rsid w:val="00442A7C"/>
    <w:rsid w:val="00443C9D"/>
    <w:rsid w:val="00445087"/>
    <w:rsid w:val="004463A9"/>
    <w:rsid w:val="00450A98"/>
    <w:rsid w:val="00452B86"/>
    <w:rsid w:val="004532FC"/>
    <w:rsid w:val="00454B7C"/>
    <w:rsid w:val="00457645"/>
    <w:rsid w:val="0046330A"/>
    <w:rsid w:val="00472598"/>
    <w:rsid w:val="00472852"/>
    <w:rsid w:val="00474BEB"/>
    <w:rsid w:val="00482F7D"/>
    <w:rsid w:val="00485F32"/>
    <w:rsid w:val="0048673E"/>
    <w:rsid w:val="0049139D"/>
    <w:rsid w:val="004A1AA1"/>
    <w:rsid w:val="004A3724"/>
    <w:rsid w:val="004A4C61"/>
    <w:rsid w:val="004B141A"/>
    <w:rsid w:val="004B44DD"/>
    <w:rsid w:val="004C09A7"/>
    <w:rsid w:val="004C48C0"/>
    <w:rsid w:val="004C7D4F"/>
    <w:rsid w:val="004E3A43"/>
    <w:rsid w:val="004E5CB3"/>
    <w:rsid w:val="004E6B64"/>
    <w:rsid w:val="004F1701"/>
    <w:rsid w:val="004F1D22"/>
    <w:rsid w:val="004F40D9"/>
    <w:rsid w:val="004F5124"/>
    <w:rsid w:val="004F52B0"/>
    <w:rsid w:val="004F67D7"/>
    <w:rsid w:val="0050155E"/>
    <w:rsid w:val="005047B9"/>
    <w:rsid w:val="005066BF"/>
    <w:rsid w:val="00506ABC"/>
    <w:rsid w:val="0051148B"/>
    <w:rsid w:val="00521A3E"/>
    <w:rsid w:val="0052451B"/>
    <w:rsid w:val="00525ACA"/>
    <w:rsid w:val="00525BFA"/>
    <w:rsid w:val="00527579"/>
    <w:rsid w:val="005277F6"/>
    <w:rsid w:val="005320DA"/>
    <w:rsid w:val="005420D0"/>
    <w:rsid w:val="005424B2"/>
    <w:rsid w:val="00555104"/>
    <w:rsid w:val="0055535A"/>
    <w:rsid w:val="00557E32"/>
    <w:rsid w:val="0056224F"/>
    <w:rsid w:val="005626AB"/>
    <w:rsid w:val="005655E1"/>
    <w:rsid w:val="00567C22"/>
    <w:rsid w:val="00571568"/>
    <w:rsid w:val="00572D40"/>
    <w:rsid w:val="00574103"/>
    <w:rsid w:val="005771A3"/>
    <w:rsid w:val="005810F7"/>
    <w:rsid w:val="005854D6"/>
    <w:rsid w:val="00587655"/>
    <w:rsid w:val="00595D15"/>
    <w:rsid w:val="005B232B"/>
    <w:rsid w:val="005C02A4"/>
    <w:rsid w:val="005C346A"/>
    <w:rsid w:val="005C37D6"/>
    <w:rsid w:val="005C3BCE"/>
    <w:rsid w:val="005C4D90"/>
    <w:rsid w:val="005C7EE0"/>
    <w:rsid w:val="005D56C8"/>
    <w:rsid w:val="005E43A6"/>
    <w:rsid w:val="005E4440"/>
    <w:rsid w:val="005F1467"/>
    <w:rsid w:val="005F3678"/>
    <w:rsid w:val="005F6AE7"/>
    <w:rsid w:val="00601233"/>
    <w:rsid w:val="006027BF"/>
    <w:rsid w:val="00604BEA"/>
    <w:rsid w:val="00606FAB"/>
    <w:rsid w:val="00610B6E"/>
    <w:rsid w:val="006110D8"/>
    <w:rsid w:val="00612339"/>
    <w:rsid w:val="00612D99"/>
    <w:rsid w:val="0061484B"/>
    <w:rsid w:val="0061539A"/>
    <w:rsid w:val="0062496B"/>
    <w:rsid w:val="00633660"/>
    <w:rsid w:val="00634E18"/>
    <w:rsid w:val="00635805"/>
    <w:rsid w:val="00635B5F"/>
    <w:rsid w:val="006421A1"/>
    <w:rsid w:val="00642B3A"/>
    <w:rsid w:val="006453A1"/>
    <w:rsid w:val="006457D5"/>
    <w:rsid w:val="0064760C"/>
    <w:rsid w:val="006527EB"/>
    <w:rsid w:val="006545F3"/>
    <w:rsid w:val="00656A2F"/>
    <w:rsid w:val="00657D84"/>
    <w:rsid w:val="00664F10"/>
    <w:rsid w:val="0067032A"/>
    <w:rsid w:val="00670412"/>
    <w:rsid w:val="00671986"/>
    <w:rsid w:val="00671CE2"/>
    <w:rsid w:val="0067271A"/>
    <w:rsid w:val="00673653"/>
    <w:rsid w:val="00681DEF"/>
    <w:rsid w:val="00686D08"/>
    <w:rsid w:val="00692E70"/>
    <w:rsid w:val="00695727"/>
    <w:rsid w:val="006B4B10"/>
    <w:rsid w:val="006B7C9C"/>
    <w:rsid w:val="006C5209"/>
    <w:rsid w:val="006C6259"/>
    <w:rsid w:val="006C6DF4"/>
    <w:rsid w:val="006C70F4"/>
    <w:rsid w:val="006D51FD"/>
    <w:rsid w:val="006D7EE8"/>
    <w:rsid w:val="006E1214"/>
    <w:rsid w:val="006E361B"/>
    <w:rsid w:val="006E5BE5"/>
    <w:rsid w:val="006E7A25"/>
    <w:rsid w:val="006F0B0E"/>
    <w:rsid w:val="006F3545"/>
    <w:rsid w:val="006F3A0F"/>
    <w:rsid w:val="006F6E3E"/>
    <w:rsid w:val="0070257F"/>
    <w:rsid w:val="007025A2"/>
    <w:rsid w:val="00702AA3"/>
    <w:rsid w:val="00710926"/>
    <w:rsid w:val="00713689"/>
    <w:rsid w:val="0071690A"/>
    <w:rsid w:val="00717194"/>
    <w:rsid w:val="007222F1"/>
    <w:rsid w:val="007233E0"/>
    <w:rsid w:val="00723945"/>
    <w:rsid w:val="00723B8B"/>
    <w:rsid w:val="00725BCD"/>
    <w:rsid w:val="00727581"/>
    <w:rsid w:val="0073084E"/>
    <w:rsid w:val="00732B51"/>
    <w:rsid w:val="0074491E"/>
    <w:rsid w:val="0074646E"/>
    <w:rsid w:val="00751398"/>
    <w:rsid w:val="00756528"/>
    <w:rsid w:val="00765C61"/>
    <w:rsid w:val="007711C2"/>
    <w:rsid w:val="00772D7D"/>
    <w:rsid w:val="007901CE"/>
    <w:rsid w:val="0079116E"/>
    <w:rsid w:val="0079174D"/>
    <w:rsid w:val="00793341"/>
    <w:rsid w:val="007938E3"/>
    <w:rsid w:val="007955F3"/>
    <w:rsid w:val="00796B59"/>
    <w:rsid w:val="007A13B5"/>
    <w:rsid w:val="007A3ACB"/>
    <w:rsid w:val="007A4E94"/>
    <w:rsid w:val="007A6680"/>
    <w:rsid w:val="007A7AB8"/>
    <w:rsid w:val="007B1BEF"/>
    <w:rsid w:val="007B53B7"/>
    <w:rsid w:val="007B6722"/>
    <w:rsid w:val="007B7A2D"/>
    <w:rsid w:val="007C21B1"/>
    <w:rsid w:val="007C418B"/>
    <w:rsid w:val="007D3324"/>
    <w:rsid w:val="007D3DE4"/>
    <w:rsid w:val="007D4B8A"/>
    <w:rsid w:val="007D5990"/>
    <w:rsid w:val="007E022C"/>
    <w:rsid w:val="007F29B1"/>
    <w:rsid w:val="007F5D8A"/>
    <w:rsid w:val="007F7894"/>
    <w:rsid w:val="007F7D6A"/>
    <w:rsid w:val="007F7DD0"/>
    <w:rsid w:val="008007C0"/>
    <w:rsid w:val="00802B58"/>
    <w:rsid w:val="00810A1B"/>
    <w:rsid w:val="0081325E"/>
    <w:rsid w:val="008137F3"/>
    <w:rsid w:val="00816DF0"/>
    <w:rsid w:val="00817245"/>
    <w:rsid w:val="00823594"/>
    <w:rsid w:val="0082483B"/>
    <w:rsid w:val="0083158C"/>
    <w:rsid w:val="00833549"/>
    <w:rsid w:val="0083544B"/>
    <w:rsid w:val="00840227"/>
    <w:rsid w:val="00850AE8"/>
    <w:rsid w:val="00851A8E"/>
    <w:rsid w:val="008675E9"/>
    <w:rsid w:val="00881FEF"/>
    <w:rsid w:val="008842C7"/>
    <w:rsid w:val="00886B97"/>
    <w:rsid w:val="008A03CD"/>
    <w:rsid w:val="008A47AF"/>
    <w:rsid w:val="008A6CDC"/>
    <w:rsid w:val="008B1BF4"/>
    <w:rsid w:val="008B6F1E"/>
    <w:rsid w:val="008C3957"/>
    <w:rsid w:val="008C57B1"/>
    <w:rsid w:val="008C6FF5"/>
    <w:rsid w:val="008D00A6"/>
    <w:rsid w:val="008D4EF1"/>
    <w:rsid w:val="008E273B"/>
    <w:rsid w:val="008E2C25"/>
    <w:rsid w:val="008E3EA6"/>
    <w:rsid w:val="008E40B0"/>
    <w:rsid w:val="008E7F33"/>
    <w:rsid w:val="008F0CEF"/>
    <w:rsid w:val="008F1FCA"/>
    <w:rsid w:val="008F4A9D"/>
    <w:rsid w:val="009003EC"/>
    <w:rsid w:val="0090183B"/>
    <w:rsid w:val="00901CFD"/>
    <w:rsid w:val="00902067"/>
    <w:rsid w:val="009030AA"/>
    <w:rsid w:val="009052E3"/>
    <w:rsid w:val="00907798"/>
    <w:rsid w:val="00913B27"/>
    <w:rsid w:val="00915AAF"/>
    <w:rsid w:val="009208B8"/>
    <w:rsid w:val="009229E8"/>
    <w:rsid w:val="00926D48"/>
    <w:rsid w:val="00932441"/>
    <w:rsid w:val="00936613"/>
    <w:rsid w:val="009417CE"/>
    <w:rsid w:val="00956723"/>
    <w:rsid w:val="00961E11"/>
    <w:rsid w:val="00964029"/>
    <w:rsid w:val="0096591C"/>
    <w:rsid w:val="00965FDA"/>
    <w:rsid w:val="00970E4C"/>
    <w:rsid w:val="00973B8F"/>
    <w:rsid w:val="00974CE5"/>
    <w:rsid w:val="00976237"/>
    <w:rsid w:val="0097647E"/>
    <w:rsid w:val="00981054"/>
    <w:rsid w:val="009821DA"/>
    <w:rsid w:val="00984F22"/>
    <w:rsid w:val="00987390"/>
    <w:rsid w:val="00994522"/>
    <w:rsid w:val="0099486A"/>
    <w:rsid w:val="00996F9D"/>
    <w:rsid w:val="0099756F"/>
    <w:rsid w:val="009A0A61"/>
    <w:rsid w:val="009A1547"/>
    <w:rsid w:val="009B0215"/>
    <w:rsid w:val="009B2F93"/>
    <w:rsid w:val="009B61C0"/>
    <w:rsid w:val="009B6F45"/>
    <w:rsid w:val="009B7BF0"/>
    <w:rsid w:val="009C5965"/>
    <w:rsid w:val="009D7004"/>
    <w:rsid w:val="009F187A"/>
    <w:rsid w:val="009F4AE4"/>
    <w:rsid w:val="009F6EA2"/>
    <w:rsid w:val="00A12AED"/>
    <w:rsid w:val="00A1382A"/>
    <w:rsid w:val="00A1417F"/>
    <w:rsid w:val="00A15449"/>
    <w:rsid w:val="00A16753"/>
    <w:rsid w:val="00A22226"/>
    <w:rsid w:val="00A2289D"/>
    <w:rsid w:val="00A24196"/>
    <w:rsid w:val="00A2688C"/>
    <w:rsid w:val="00A31774"/>
    <w:rsid w:val="00A32702"/>
    <w:rsid w:val="00A42581"/>
    <w:rsid w:val="00A43851"/>
    <w:rsid w:val="00A43AA8"/>
    <w:rsid w:val="00A50D48"/>
    <w:rsid w:val="00A539FF"/>
    <w:rsid w:val="00A57F71"/>
    <w:rsid w:val="00A64A88"/>
    <w:rsid w:val="00A67FAD"/>
    <w:rsid w:val="00A70437"/>
    <w:rsid w:val="00A70719"/>
    <w:rsid w:val="00A708E0"/>
    <w:rsid w:val="00A71A87"/>
    <w:rsid w:val="00A74384"/>
    <w:rsid w:val="00A76346"/>
    <w:rsid w:val="00A76F10"/>
    <w:rsid w:val="00A83679"/>
    <w:rsid w:val="00A90826"/>
    <w:rsid w:val="00A913A8"/>
    <w:rsid w:val="00A9162E"/>
    <w:rsid w:val="00A95ADE"/>
    <w:rsid w:val="00A96395"/>
    <w:rsid w:val="00A96D14"/>
    <w:rsid w:val="00A96E9A"/>
    <w:rsid w:val="00A97A1B"/>
    <w:rsid w:val="00AA127A"/>
    <w:rsid w:val="00AA1D35"/>
    <w:rsid w:val="00AA357A"/>
    <w:rsid w:val="00AA488A"/>
    <w:rsid w:val="00AA4C3A"/>
    <w:rsid w:val="00AA5CE7"/>
    <w:rsid w:val="00AA7761"/>
    <w:rsid w:val="00AB2E90"/>
    <w:rsid w:val="00AB3A37"/>
    <w:rsid w:val="00AB53B3"/>
    <w:rsid w:val="00AB6027"/>
    <w:rsid w:val="00AB7409"/>
    <w:rsid w:val="00AC3921"/>
    <w:rsid w:val="00AC3ECA"/>
    <w:rsid w:val="00AC711B"/>
    <w:rsid w:val="00AC7458"/>
    <w:rsid w:val="00AC75BD"/>
    <w:rsid w:val="00AD060F"/>
    <w:rsid w:val="00AD20E4"/>
    <w:rsid w:val="00AD2F02"/>
    <w:rsid w:val="00AD4B43"/>
    <w:rsid w:val="00AD5635"/>
    <w:rsid w:val="00AE277D"/>
    <w:rsid w:val="00AF0B39"/>
    <w:rsid w:val="00AF19C0"/>
    <w:rsid w:val="00AF2518"/>
    <w:rsid w:val="00AF2954"/>
    <w:rsid w:val="00AF6DFA"/>
    <w:rsid w:val="00AF7E2A"/>
    <w:rsid w:val="00B0090F"/>
    <w:rsid w:val="00B00993"/>
    <w:rsid w:val="00B16270"/>
    <w:rsid w:val="00B227B0"/>
    <w:rsid w:val="00B24C5D"/>
    <w:rsid w:val="00B26E8E"/>
    <w:rsid w:val="00B27ABE"/>
    <w:rsid w:val="00B30745"/>
    <w:rsid w:val="00B31C41"/>
    <w:rsid w:val="00B32B1A"/>
    <w:rsid w:val="00B35543"/>
    <w:rsid w:val="00B35EE9"/>
    <w:rsid w:val="00B40BB5"/>
    <w:rsid w:val="00B533F7"/>
    <w:rsid w:val="00B536E9"/>
    <w:rsid w:val="00B54AF2"/>
    <w:rsid w:val="00B64D18"/>
    <w:rsid w:val="00B747DE"/>
    <w:rsid w:val="00B75136"/>
    <w:rsid w:val="00B80A33"/>
    <w:rsid w:val="00B81C22"/>
    <w:rsid w:val="00B82ADE"/>
    <w:rsid w:val="00B86D8B"/>
    <w:rsid w:val="00B92AEF"/>
    <w:rsid w:val="00B92ECA"/>
    <w:rsid w:val="00B932F1"/>
    <w:rsid w:val="00B95C7D"/>
    <w:rsid w:val="00B96514"/>
    <w:rsid w:val="00B97447"/>
    <w:rsid w:val="00BB18AF"/>
    <w:rsid w:val="00BB57AF"/>
    <w:rsid w:val="00BB6D70"/>
    <w:rsid w:val="00BB6FC7"/>
    <w:rsid w:val="00BC026F"/>
    <w:rsid w:val="00BC2FFF"/>
    <w:rsid w:val="00BC47DD"/>
    <w:rsid w:val="00BD07DA"/>
    <w:rsid w:val="00BD1849"/>
    <w:rsid w:val="00BD452D"/>
    <w:rsid w:val="00BD609C"/>
    <w:rsid w:val="00BD6775"/>
    <w:rsid w:val="00BE0A9C"/>
    <w:rsid w:val="00BE3EA2"/>
    <w:rsid w:val="00BE447A"/>
    <w:rsid w:val="00BE4723"/>
    <w:rsid w:val="00BE54BA"/>
    <w:rsid w:val="00C0154C"/>
    <w:rsid w:val="00C03B60"/>
    <w:rsid w:val="00C14343"/>
    <w:rsid w:val="00C204FC"/>
    <w:rsid w:val="00C2209B"/>
    <w:rsid w:val="00C23292"/>
    <w:rsid w:val="00C242F1"/>
    <w:rsid w:val="00C25CA3"/>
    <w:rsid w:val="00C26814"/>
    <w:rsid w:val="00C27EEA"/>
    <w:rsid w:val="00C35A8F"/>
    <w:rsid w:val="00C4043A"/>
    <w:rsid w:val="00C422EC"/>
    <w:rsid w:val="00C43578"/>
    <w:rsid w:val="00C505DF"/>
    <w:rsid w:val="00C51050"/>
    <w:rsid w:val="00C5237C"/>
    <w:rsid w:val="00C53944"/>
    <w:rsid w:val="00C6138B"/>
    <w:rsid w:val="00C73EFA"/>
    <w:rsid w:val="00C77D21"/>
    <w:rsid w:val="00C811F2"/>
    <w:rsid w:val="00C8175D"/>
    <w:rsid w:val="00C90E48"/>
    <w:rsid w:val="00C920F2"/>
    <w:rsid w:val="00CA185B"/>
    <w:rsid w:val="00CA580A"/>
    <w:rsid w:val="00CB1687"/>
    <w:rsid w:val="00CB2C1F"/>
    <w:rsid w:val="00CB5DB7"/>
    <w:rsid w:val="00CB5F54"/>
    <w:rsid w:val="00CC3E1F"/>
    <w:rsid w:val="00CC3EEA"/>
    <w:rsid w:val="00CC4E9C"/>
    <w:rsid w:val="00CC6B3C"/>
    <w:rsid w:val="00CD4CB5"/>
    <w:rsid w:val="00CD5C99"/>
    <w:rsid w:val="00CD63D8"/>
    <w:rsid w:val="00CE151F"/>
    <w:rsid w:val="00CF2DC9"/>
    <w:rsid w:val="00CF6C58"/>
    <w:rsid w:val="00D018CD"/>
    <w:rsid w:val="00D0407D"/>
    <w:rsid w:val="00D0439E"/>
    <w:rsid w:val="00D05299"/>
    <w:rsid w:val="00D06E78"/>
    <w:rsid w:val="00D12FCF"/>
    <w:rsid w:val="00D136F6"/>
    <w:rsid w:val="00D20C64"/>
    <w:rsid w:val="00D21065"/>
    <w:rsid w:val="00D21126"/>
    <w:rsid w:val="00D22AA7"/>
    <w:rsid w:val="00D251CF"/>
    <w:rsid w:val="00D25B23"/>
    <w:rsid w:val="00D363E5"/>
    <w:rsid w:val="00D36938"/>
    <w:rsid w:val="00D43D99"/>
    <w:rsid w:val="00D525A6"/>
    <w:rsid w:val="00D53CF2"/>
    <w:rsid w:val="00D61F3B"/>
    <w:rsid w:val="00D64152"/>
    <w:rsid w:val="00D71998"/>
    <w:rsid w:val="00D743F2"/>
    <w:rsid w:val="00D7610F"/>
    <w:rsid w:val="00D76894"/>
    <w:rsid w:val="00D77111"/>
    <w:rsid w:val="00D7794B"/>
    <w:rsid w:val="00D82318"/>
    <w:rsid w:val="00D83858"/>
    <w:rsid w:val="00D843E7"/>
    <w:rsid w:val="00D85AF2"/>
    <w:rsid w:val="00D87404"/>
    <w:rsid w:val="00D87890"/>
    <w:rsid w:val="00D91E43"/>
    <w:rsid w:val="00D92053"/>
    <w:rsid w:val="00D93008"/>
    <w:rsid w:val="00D94F50"/>
    <w:rsid w:val="00D95CC5"/>
    <w:rsid w:val="00D96C69"/>
    <w:rsid w:val="00DA0ACD"/>
    <w:rsid w:val="00DA1B6A"/>
    <w:rsid w:val="00DA3EFA"/>
    <w:rsid w:val="00DB4D1B"/>
    <w:rsid w:val="00DC3C35"/>
    <w:rsid w:val="00DC7AEC"/>
    <w:rsid w:val="00DD5570"/>
    <w:rsid w:val="00DD69BE"/>
    <w:rsid w:val="00DE041C"/>
    <w:rsid w:val="00DE5832"/>
    <w:rsid w:val="00DE59F8"/>
    <w:rsid w:val="00DE68EB"/>
    <w:rsid w:val="00DF16E2"/>
    <w:rsid w:val="00DF51D5"/>
    <w:rsid w:val="00DF7F35"/>
    <w:rsid w:val="00E01AC1"/>
    <w:rsid w:val="00E02392"/>
    <w:rsid w:val="00E03571"/>
    <w:rsid w:val="00E03FB5"/>
    <w:rsid w:val="00E05A5F"/>
    <w:rsid w:val="00E05E61"/>
    <w:rsid w:val="00E11653"/>
    <w:rsid w:val="00E12208"/>
    <w:rsid w:val="00E12B37"/>
    <w:rsid w:val="00E146CD"/>
    <w:rsid w:val="00E15173"/>
    <w:rsid w:val="00E22582"/>
    <w:rsid w:val="00E22BE9"/>
    <w:rsid w:val="00E23325"/>
    <w:rsid w:val="00E2577E"/>
    <w:rsid w:val="00E30993"/>
    <w:rsid w:val="00E312B1"/>
    <w:rsid w:val="00E33419"/>
    <w:rsid w:val="00E33652"/>
    <w:rsid w:val="00E34403"/>
    <w:rsid w:val="00E40BB4"/>
    <w:rsid w:val="00E45CFF"/>
    <w:rsid w:val="00E47F16"/>
    <w:rsid w:val="00E519AF"/>
    <w:rsid w:val="00E5314D"/>
    <w:rsid w:val="00E56F9E"/>
    <w:rsid w:val="00E576D1"/>
    <w:rsid w:val="00E60C53"/>
    <w:rsid w:val="00E61F4C"/>
    <w:rsid w:val="00E70560"/>
    <w:rsid w:val="00E71017"/>
    <w:rsid w:val="00E71CC6"/>
    <w:rsid w:val="00E730A5"/>
    <w:rsid w:val="00E76053"/>
    <w:rsid w:val="00E76ABF"/>
    <w:rsid w:val="00E84504"/>
    <w:rsid w:val="00E8614A"/>
    <w:rsid w:val="00E866D3"/>
    <w:rsid w:val="00E92DB0"/>
    <w:rsid w:val="00E968B0"/>
    <w:rsid w:val="00EA6FAA"/>
    <w:rsid w:val="00EB0A3C"/>
    <w:rsid w:val="00EB53E4"/>
    <w:rsid w:val="00EB5EA9"/>
    <w:rsid w:val="00EC2051"/>
    <w:rsid w:val="00EC7926"/>
    <w:rsid w:val="00ED0D60"/>
    <w:rsid w:val="00ED1AC9"/>
    <w:rsid w:val="00ED2076"/>
    <w:rsid w:val="00ED26D7"/>
    <w:rsid w:val="00ED6DA9"/>
    <w:rsid w:val="00ED7817"/>
    <w:rsid w:val="00EE3EBB"/>
    <w:rsid w:val="00EE7CD7"/>
    <w:rsid w:val="00EF0132"/>
    <w:rsid w:val="00EF01D1"/>
    <w:rsid w:val="00EF31FF"/>
    <w:rsid w:val="00EF68BD"/>
    <w:rsid w:val="00EF76C2"/>
    <w:rsid w:val="00EF7768"/>
    <w:rsid w:val="00F06AD8"/>
    <w:rsid w:val="00F07451"/>
    <w:rsid w:val="00F1332D"/>
    <w:rsid w:val="00F13E65"/>
    <w:rsid w:val="00F14D5A"/>
    <w:rsid w:val="00F21480"/>
    <w:rsid w:val="00F224A6"/>
    <w:rsid w:val="00F22ACC"/>
    <w:rsid w:val="00F246AC"/>
    <w:rsid w:val="00F252CA"/>
    <w:rsid w:val="00F2599F"/>
    <w:rsid w:val="00F27375"/>
    <w:rsid w:val="00F31D26"/>
    <w:rsid w:val="00F325A2"/>
    <w:rsid w:val="00F374AE"/>
    <w:rsid w:val="00F37CCA"/>
    <w:rsid w:val="00F40BF1"/>
    <w:rsid w:val="00F42015"/>
    <w:rsid w:val="00F43810"/>
    <w:rsid w:val="00F52C82"/>
    <w:rsid w:val="00F532A8"/>
    <w:rsid w:val="00F539CB"/>
    <w:rsid w:val="00F5716D"/>
    <w:rsid w:val="00F57C8E"/>
    <w:rsid w:val="00F60DEF"/>
    <w:rsid w:val="00F639BB"/>
    <w:rsid w:val="00F64679"/>
    <w:rsid w:val="00F66700"/>
    <w:rsid w:val="00F67B86"/>
    <w:rsid w:val="00F72905"/>
    <w:rsid w:val="00F75612"/>
    <w:rsid w:val="00F75B37"/>
    <w:rsid w:val="00F7631C"/>
    <w:rsid w:val="00F7685C"/>
    <w:rsid w:val="00F84302"/>
    <w:rsid w:val="00F861CD"/>
    <w:rsid w:val="00F87753"/>
    <w:rsid w:val="00F9453B"/>
    <w:rsid w:val="00F954F5"/>
    <w:rsid w:val="00F957A1"/>
    <w:rsid w:val="00F96322"/>
    <w:rsid w:val="00FA1E31"/>
    <w:rsid w:val="00FA33A8"/>
    <w:rsid w:val="00FA76B5"/>
    <w:rsid w:val="00FB21E6"/>
    <w:rsid w:val="00FB4A89"/>
    <w:rsid w:val="00FB5464"/>
    <w:rsid w:val="00FD0665"/>
    <w:rsid w:val="00FD0FC0"/>
    <w:rsid w:val="00FD21E7"/>
    <w:rsid w:val="00FD35A5"/>
    <w:rsid w:val="00FD79C7"/>
    <w:rsid w:val="00FE0D8B"/>
    <w:rsid w:val="00FE1409"/>
    <w:rsid w:val="00FE38FF"/>
    <w:rsid w:val="00FE46D6"/>
    <w:rsid w:val="00FE6DC8"/>
    <w:rsid w:val="00FE7725"/>
    <w:rsid w:val="00FF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B7ED"/>
  <w15:chartTrackingRefBased/>
  <w15:docId w15:val="{6EBEF3E3-D3E2-C94A-AB52-59395828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1C39E0"/>
    <w:rPr>
      <w:vertAlign w:val="baseline"/>
    </w:rPr>
  </w:style>
  <w:style w:type="paragraph" w:styleId="BalloonText">
    <w:name w:val="Balloon Text"/>
    <w:basedOn w:val="Normal"/>
    <w:link w:val="BalloonTextChar"/>
    <w:uiPriority w:val="99"/>
    <w:semiHidden/>
    <w:unhideWhenUsed/>
    <w:rsid w:val="00392E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2EDD"/>
    <w:rPr>
      <w:rFonts w:ascii="Times New Roman" w:hAnsi="Times New Roman" w:cs="Times New Roman"/>
      <w:sz w:val="18"/>
      <w:szCs w:val="18"/>
    </w:rPr>
  </w:style>
  <w:style w:type="paragraph" w:styleId="FootnoteText">
    <w:name w:val="footnote text"/>
    <w:basedOn w:val="Normal"/>
    <w:link w:val="FootnoteTextChar"/>
    <w:uiPriority w:val="99"/>
    <w:unhideWhenUsed/>
    <w:rsid w:val="00F75B37"/>
    <w:pPr>
      <w:tabs>
        <w:tab w:val="left" w:pos="360"/>
      </w:tabs>
    </w:pPr>
    <w:rPr>
      <w:rFonts w:ascii="Times New Roman" w:hAnsi="Times New Roman"/>
      <w:sz w:val="20"/>
      <w:szCs w:val="20"/>
    </w:rPr>
  </w:style>
  <w:style w:type="character" w:customStyle="1" w:styleId="FootnoteTextChar">
    <w:name w:val="Footnote Text Char"/>
    <w:basedOn w:val="DefaultParagraphFont"/>
    <w:link w:val="FootnoteText"/>
    <w:uiPriority w:val="99"/>
    <w:rsid w:val="00F75B37"/>
    <w:rPr>
      <w:rFonts w:ascii="Times New Roman" w:hAnsi="Times New Roman"/>
      <w:sz w:val="20"/>
      <w:szCs w:val="20"/>
    </w:rPr>
  </w:style>
  <w:style w:type="character" w:styleId="FootnoteReference">
    <w:name w:val="footnote reference"/>
    <w:basedOn w:val="DefaultParagraphFont"/>
    <w:uiPriority w:val="99"/>
    <w:semiHidden/>
    <w:unhideWhenUsed/>
    <w:rsid w:val="00F75B37"/>
    <w:rPr>
      <w:vertAlign w:val="superscript"/>
    </w:rPr>
  </w:style>
  <w:style w:type="paragraph" w:customStyle="1" w:styleId="EndNoteBibliographyTitle">
    <w:name w:val="EndNote Bibliography Title"/>
    <w:basedOn w:val="Normal"/>
    <w:link w:val="EndNoteBibliographyTitleChar"/>
    <w:rsid w:val="0067271A"/>
    <w:pPr>
      <w:jc w:val="center"/>
    </w:pPr>
    <w:rPr>
      <w:rFonts w:ascii="Calibri" w:hAnsi="Calibri" w:cs="Calibri"/>
    </w:rPr>
  </w:style>
  <w:style w:type="character" w:customStyle="1" w:styleId="EndNoteBibliographyTitleChar">
    <w:name w:val="EndNote Bibliography Title Char"/>
    <w:basedOn w:val="FootnoteTextChar"/>
    <w:link w:val="EndNoteBibliographyTitle"/>
    <w:rsid w:val="0067271A"/>
    <w:rPr>
      <w:rFonts w:ascii="Calibri" w:hAnsi="Calibri" w:cs="Calibri"/>
      <w:sz w:val="20"/>
      <w:szCs w:val="20"/>
    </w:rPr>
  </w:style>
  <w:style w:type="paragraph" w:customStyle="1" w:styleId="EndNoteBibliography">
    <w:name w:val="EndNote Bibliography"/>
    <w:basedOn w:val="Normal"/>
    <w:link w:val="EndNoteBibliographyChar"/>
    <w:rsid w:val="0067271A"/>
    <w:rPr>
      <w:rFonts w:ascii="Calibri" w:hAnsi="Calibri" w:cs="Calibri"/>
    </w:rPr>
  </w:style>
  <w:style w:type="character" w:customStyle="1" w:styleId="EndNoteBibliographyChar">
    <w:name w:val="EndNote Bibliography Char"/>
    <w:basedOn w:val="FootnoteTextChar"/>
    <w:link w:val="EndNoteBibliography"/>
    <w:rsid w:val="0067271A"/>
    <w:rPr>
      <w:rFonts w:ascii="Calibri" w:hAnsi="Calibri" w:cs="Calibri"/>
      <w:sz w:val="20"/>
      <w:szCs w:val="20"/>
    </w:rPr>
  </w:style>
  <w:style w:type="paragraph" w:styleId="EndnoteText">
    <w:name w:val="endnote text"/>
    <w:basedOn w:val="Normal"/>
    <w:link w:val="EndnoteTextChar"/>
    <w:uiPriority w:val="99"/>
    <w:unhideWhenUsed/>
    <w:rsid w:val="00F66700"/>
    <w:rPr>
      <w:sz w:val="20"/>
      <w:szCs w:val="20"/>
    </w:rPr>
  </w:style>
  <w:style w:type="character" w:customStyle="1" w:styleId="EndnoteTextChar">
    <w:name w:val="Endnote Text Char"/>
    <w:basedOn w:val="DefaultParagraphFont"/>
    <w:link w:val="EndnoteText"/>
    <w:uiPriority w:val="99"/>
    <w:rsid w:val="00F66700"/>
    <w:rPr>
      <w:sz w:val="20"/>
      <w:szCs w:val="20"/>
    </w:rPr>
  </w:style>
  <w:style w:type="character" w:styleId="Emphasis">
    <w:name w:val="Emphasis"/>
    <w:basedOn w:val="DefaultParagraphFont"/>
    <w:uiPriority w:val="20"/>
    <w:qFormat/>
    <w:rsid w:val="005C37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5936</Words>
  <Characters>33838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 Olsen</dc:creator>
  <cp:keywords/>
  <dc:description/>
  <cp:lastModifiedBy>Paul E. Olsen</cp:lastModifiedBy>
  <cp:revision>3</cp:revision>
  <dcterms:created xsi:type="dcterms:W3CDTF">2024-09-11T10:23:00Z</dcterms:created>
  <dcterms:modified xsi:type="dcterms:W3CDTF">2024-09-11T10:23:00Z</dcterms:modified>
</cp:coreProperties>
</file>